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5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658"/>
      </w:tblGrid>
      <w:tr w:rsidR="00A05080" w:rsidRPr="00A05080" w14:paraId="3791243C" w14:textId="77777777" w:rsidTr="00A05080">
        <w:trPr>
          <w:trHeight w:val="2804"/>
        </w:trPr>
        <w:tc>
          <w:tcPr>
            <w:tcW w:w="10658" w:type="dxa"/>
          </w:tcPr>
          <w:p w14:paraId="1CE6A4D2" w14:textId="77777777" w:rsidR="00A05080" w:rsidRPr="00A05080" w:rsidRDefault="00A05080" w:rsidP="00A05080">
            <w:pPr>
              <w:spacing w:before="0"/>
              <w:rPr>
                <w:rFonts w:asciiTheme="minorHAnsi" w:hAnsiTheme="minorHAnsi" w:cstheme="minorHAnsi"/>
                <w:b/>
                <w:sz w:val="28"/>
                <w:szCs w:val="28"/>
              </w:rPr>
            </w:pPr>
            <w:r w:rsidRPr="00A05080">
              <w:rPr>
                <w:rFonts w:asciiTheme="minorHAnsi" w:hAnsiTheme="minorHAnsi" w:cstheme="minorHAnsi"/>
                <w:b/>
                <w:sz w:val="28"/>
                <w:szCs w:val="28"/>
              </w:rPr>
              <w:t>GENERAL INFORMATION</w:t>
            </w:r>
          </w:p>
          <w:p w14:paraId="574DDB0A" w14:textId="0EDFD6AB" w:rsidR="00A05080" w:rsidRPr="00A05080" w:rsidRDefault="00A05080" w:rsidP="005E7D67">
            <w:pPr>
              <w:jc w:val="both"/>
              <w:rPr>
                <w:rFonts w:asciiTheme="minorHAnsi" w:hAnsiTheme="minorHAnsi" w:cstheme="minorHAnsi"/>
                <w:sz w:val="24"/>
                <w:szCs w:val="24"/>
              </w:rPr>
            </w:pPr>
            <w:r w:rsidRPr="00A05080">
              <w:rPr>
                <w:rFonts w:asciiTheme="minorHAnsi" w:hAnsiTheme="minorHAnsi" w:cstheme="minorHAnsi"/>
                <w:sz w:val="24"/>
                <w:szCs w:val="24"/>
              </w:rPr>
              <w:t xml:space="preserve">This policy is intended to provide guidance to pharmacists on current </w:t>
            </w:r>
            <w:r w:rsidR="005E7D67" w:rsidRPr="00A05080">
              <w:rPr>
                <w:rFonts w:asciiTheme="minorHAnsi" w:hAnsiTheme="minorHAnsi" w:cstheme="minorHAnsi"/>
                <w:sz w:val="24"/>
                <w:szCs w:val="24"/>
              </w:rPr>
              <w:t>references, which</w:t>
            </w:r>
            <w:r w:rsidRPr="00A05080">
              <w:rPr>
                <w:rFonts w:asciiTheme="minorHAnsi" w:hAnsiTheme="minorHAnsi" w:cstheme="minorHAnsi"/>
                <w:sz w:val="24"/>
                <w:szCs w:val="24"/>
              </w:rPr>
              <w:t xml:space="preserve"> must be available in all Northern Territory pharmacy businesses or pharmacy departments.  The materials must be immediately available to the pharmacist during the clinical assessment, reviewing, dispensing and counselling processes in either hard copy or electronic form. </w:t>
            </w:r>
          </w:p>
          <w:p w14:paraId="60D8E4CC" w14:textId="77777777" w:rsidR="00A05080" w:rsidRPr="00A05080" w:rsidRDefault="00A05080" w:rsidP="005E7D67">
            <w:pPr>
              <w:jc w:val="both"/>
              <w:rPr>
                <w:rFonts w:asciiTheme="minorHAnsi" w:hAnsiTheme="minorHAnsi" w:cstheme="minorHAnsi"/>
                <w:sz w:val="24"/>
                <w:szCs w:val="24"/>
              </w:rPr>
            </w:pPr>
            <w:r w:rsidRPr="00A05080">
              <w:rPr>
                <w:rFonts w:asciiTheme="minorHAnsi" w:hAnsiTheme="minorHAnsi" w:cstheme="minorHAnsi"/>
                <w:sz w:val="24"/>
                <w:szCs w:val="24"/>
              </w:rPr>
              <w:t>Substitution of the references listed below with references not endorsed by the Pharmacy Premises Committee or the Pharmacy Board of Australia is not acceptable.</w:t>
            </w:r>
          </w:p>
          <w:p w14:paraId="7BCE61F6" w14:textId="77777777" w:rsidR="00A05080" w:rsidRPr="00A05080" w:rsidRDefault="00A05080" w:rsidP="005E7D67">
            <w:pPr>
              <w:jc w:val="both"/>
              <w:rPr>
                <w:rFonts w:asciiTheme="minorHAnsi" w:hAnsiTheme="minorHAnsi" w:cstheme="minorHAnsi"/>
                <w:b/>
                <w:sz w:val="28"/>
                <w:szCs w:val="28"/>
              </w:rPr>
            </w:pPr>
            <w:r w:rsidRPr="00A05080">
              <w:rPr>
                <w:rFonts w:asciiTheme="minorHAnsi" w:hAnsiTheme="minorHAnsi" w:cstheme="minorHAnsi"/>
                <w:i/>
              </w:rPr>
              <w:t>Note: In addition to the references listed pharmacists should refer to additional references relevant to their area of practice.</w:t>
            </w:r>
          </w:p>
        </w:tc>
      </w:tr>
    </w:tbl>
    <w:p w14:paraId="5627F407" w14:textId="77777777" w:rsidR="00AB5146" w:rsidRPr="00A05080" w:rsidRDefault="00AB5146" w:rsidP="00A05080">
      <w:pPr>
        <w:spacing w:before="0" w:after="0"/>
        <w:rPr>
          <w:rFonts w:asciiTheme="minorHAnsi" w:hAnsiTheme="minorHAnsi" w:cstheme="minorHAnsi"/>
          <w:sz w:val="12"/>
          <w:szCs w:val="12"/>
        </w:rPr>
      </w:pPr>
    </w:p>
    <w:tbl>
      <w:tblPr>
        <w:tblStyle w:val="TableGrid"/>
        <w:tblW w:w="10691" w:type="dxa"/>
        <w:tblInd w:w="-3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0691"/>
      </w:tblGrid>
      <w:tr w:rsidR="00A05080" w:rsidRPr="00A05080" w14:paraId="7AF87D19" w14:textId="77777777" w:rsidTr="00D34107">
        <w:trPr>
          <w:trHeight w:val="2227"/>
        </w:trPr>
        <w:tc>
          <w:tcPr>
            <w:tcW w:w="10691" w:type="dxa"/>
          </w:tcPr>
          <w:p w14:paraId="55C98F67" w14:textId="77777777" w:rsidR="00A05080" w:rsidRPr="00A05080" w:rsidRDefault="00A05080" w:rsidP="00A05080">
            <w:pPr>
              <w:spacing w:before="0"/>
              <w:ind w:right="3"/>
              <w:rPr>
                <w:rFonts w:asciiTheme="minorHAnsi" w:hAnsiTheme="minorHAnsi" w:cstheme="minorHAnsi"/>
                <w:b/>
                <w:sz w:val="28"/>
                <w:szCs w:val="28"/>
              </w:rPr>
            </w:pPr>
            <w:r w:rsidRPr="00A05080">
              <w:rPr>
                <w:rFonts w:asciiTheme="minorHAnsi" w:hAnsiTheme="minorHAnsi" w:cstheme="minorHAnsi"/>
                <w:b/>
                <w:sz w:val="28"/>
                <w:szCs w:val="28"/>
              </w:rPr>
              <w:t>MANDATORY REFERENCE LIST</w:t>
            </w:r>
          </w:p>
          <w:p w14:paraId="308F3A9C" w14:textId="61CCA1CB" w:rsidR="00A05080" w:rsidRPr="00A05080" w:rsidRDefault="00A05080" w:rsidP="005E7D67">
            <w:pPr>
              <w:ind w:right="3"/>
              <w:jc w:val="both"/>
              <w:rPr>
                <w:rFonts w:asciiTheme="minorHAnsi" w:hAnsiTheme="minorHAnsi" w:cstheme="minorHAnsi"/>
                <w:sz w:val="24"/>
                <w:szCs w:val="24"/>
              </w:rPr>
            </w:pPr>
            <w:r w:rsidRPr="00A05080">
              <w:rPr>
                <w:rFonts w:asciiTheme="minorHAnsi" w:hAnsiTheme="minorHAnsi" w:cstheme="minorHAnsi"/>
                <w:sz w:val="24"/>
                <w:szCs w:val="24"/>
              </w:rPr>
              <w:t xml:space="preserve">The Pharmacy Premises Committee endorses the Pharmacy Board of Australia’s list of reference texts for pharmacists.  </w:t>
            </w:r>
            <w:r>
              <w:rPr>
                <w:rFonts w:asciiTheme="minorHAnsi" w:hAnsiTheme="minorHAnsi" w:cstheme="minorHAnsi"/>
                <w:sz w:val="24"/>
                <w:szCs w:val="24"/>
              </w:rPr>
              <w:t>The follow</w:t>
            </w:r>
            <w:r w:rsidR="005E7D67">
              <w:rPr>
                <w:rFonts w:asciiTheme="minorHAnsi" w:hAnsiTheme="minorHAnsi" w:cstheme="minorHAnsi"/>
                <w:sz w:val="24"/>
                <w:szCs w:val="24"/>
              </w:rPr>
              <w:t>ing</w:t>
            </w:r>
            <w:r>
              <w:rPr>
                <w:rFonts w:asciiTheme="minorHAnsi" w:hAnsiTheme="minorHAnsi" w:cstheme="minorHAnsi"/>
                <w:sz w:val="24"/>
                <w:szCs w:val="24"/>
              </w:rPr>
              <w:t xml:space="preserve"> list must be available as the current edition. </w:t>
            </w:r>
            <w:r w:rsidRPr="00A05080">
              <w:rPr>
                <w:rFonts w:asciiTheme="minorHAnsi" w:hAnsiTheme="minorHAnsi" w:cstheme="minorHAnsi"/>
                <w:sz w:val="24"/>
                <w:szCs w:val="24"/>
              </w:rPr>
              <w:t>This list can be found on the following link:</w:t>
            </w:r>
          </w:p>
          <w:p w14:paraId="01C8447F" w14:textId="7A0BF2C3" w:rsidR="00E9218E" w:rsidRPr="00E9218E" w:rsidRDefault="00E9218E" w:rsidP="00D87E97">
            <w:pPr>
              <w:ind w:right="6"/>
              <w:rPr>
                <w:rFonts w:asciiTheme="minorHAnsi" w:hAnsiTheme="minorHAnsi" w:cstheme="minorHAnsi"/>
                <w:b/>
                <w:strike/>
                <w:sz w:val="28"/>
                <w:szCs w:val="28"/>
              </w:rPr>
            </w:pPr>
            <w:hyperlink r:id="rId8" w:history="1">
              <w:r>
                <w:rPr>
                  <w:rStyle w:val="Hyperlink"/>
                </w:rPr>
                <w:t>Pharmacy Board of Australia - Codes, Guidelines and Policies</w:t>
              </w:r>
            </w:hyperlink>
          </w:p>
        </w:tc>
      </w:tr>
    </w:tbl>
    <w:p w14:paraId="29E4146F" w14:textId="77777777" w:rsidR="00F32F77" w:rsidRPr="00A05080" w:rsidRDefault="00F32F77" w:rsidP="00A05080">
      <w:pPr>
        <w:spacing w:before="0" w:after="0"/>
        <w:rPr>
          <w:rFonts w:asciiTheme="minorHAnsi" w:hAnsiTheme="minorHAnsi" w:cstheme="minorHAnsi"/>
          <w:sz w:val="12"/>
          <w:szCs w:val="12"/>
        </w:rPr>
      </w:pPr>
    </w:p>
    <w:tbl>
      <w:tblPr>
        <w:tblStyle w:val="TableGrid"/>
        <w:tblW w:w="1065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658"/>
      </w:tblGrid>
      <w:tr w:rsidR="00A05080" w:rsidRPr="00A05080" w14:paraId="49FE6D9E" w14:textId="77777777" w:rsidTr="00A05080">
        <w:trPr>
          <w:trHeight w:val="901"/>
        </w:trPr>
        <w:tc>
          <w:tcPr>
            <w:tcW w:w="10658" w:type="dxa"/>
            <w:tcBorders>
              <w:top w:val="single" w:sz="4" w:space="0" w:color="A6A6A6" w:themeColor="background1" w:themeShade="A6"/>
              <w:left w:val="single" w:sz="4" w:space="0" w:color="A6A6A6" w:themeColor="background1" w:themeShade="A6"/>
              <w:right w:val="single" w:sz="4" w:space="0" w:color="A6A6A6" w:themeColor="background1" w:themeShade="A6"/>
            </w:tcBorders>
            <w:hideMark/>
          </w:tcPr>
          <w:p w14:paraId="2DF0A38B" w14:textId="77777777" w:rsidR="00A05080" w:rsidRPr="00A05080" w:rsidRDefault="00A05080" w:rsidP="00A05080">
            <w:pPr>
              <w:tabs>
                <w:tab w:val="left" w:pos="4200"/>
              </w:tabs>
              <w:spacing w:before="0"/>
              <w:jc w:val="both"/>
              <w:rPr>
                <w:rFonts w:asciiTheme="minorHAnsi" w:hAnsiTheme="minorHAnsi" w:cstheme="minorHAnsi"/>
                <w:b/>
                <w:sz w:val="28"/>
                <w:szCs w:val="28"/>
              </w:rPr>
            </w:pPr>
            <w:r w:rsidRPr="00A05080">
              <w:rPr>
                <w:rFonts w:asciiTheme="minorHAnsi" w:hAnsiTheme="minorHAnsi" w:cstheme="minorHAnsi"/>
                <w:b/>
                <w:sz w:val="28"/>
                <w:szCs w:val="28"/>
              </w:rPr>
              <w:t>DISCLAIMER</w:t>
            </w:r>
            <w:r w:rsidRPr="00A05080">
              <w:rPr>
                <w:rFonts w:asciiTheme="minorHAnsi" w:hAnsiTheme="minorHAnsi" w:cstheme="minorHAnsi"/>
                <w:b/>
                <w:sz w:val="28"/>
                <w:szCs w:val="28"/>
              </w:rPr>
              <w:tab/>
            </w:r>
          </w:p>
          <w:p w14:paraId="03BECE56" w14:textId="77777777" w:rsidR="00A05080" w:rsidRPr="00A05080" w:rsidRDefault="00A05080" w:rsidP="00A05080">
            <w:pPr>
              <w:spacing w:before="0" w:after="0"/>
              <w:jc w:val="both"/>
              <w:rPr>
                <w:rFonts w:asciiTheme="minorHAnsi" w:hAnsiTheme="minorHAnsi" w:cstheme="minorHAnsi"/>
                <w:b/>
                <w:sz w:val="28"/>
                <w:szCs w:val="28"/>
              </w:rPr>
            </w:pPr>
            <w:r w:rsidRPr="00A05080">
              <w:rPr>
                <w:rFonts w:asciiTheme="minorHAnsi" w:hAnsiTheme="minorHAnsi" w:cstheme="minorHAnsi"/>
                <w:sz w:val="24"/>
                <w:szCs w:val="24"/>
              </w:rPr>
              <w:t>In case of any conflict or discrepancy between this document and legislation, the legislation prevails.</w:t>
            </w:r>
          </w:p>
        </w:tc>
      </w:tr>
    </w:tbl>
    <w:p w14:paraId="40C01EF7" w14:textId="77777777" w:rsidR="006D6BDB" w:rsidRPr="00A05080" w:rsidRDefault="006D6BDB" w:rsidP="006D6BDB">
      <w:pPr>
        <w:spacing w:before="0" w:after="200" w:line="276" w:lineRule="auto"/>
        <w:rPr>
          <w:rFonts w:asciiTheme="minorHAnsi" w:hAnsiTheme="minorHAnsi" w:cstheme="minorHAnsi"/>
          <w:sz w:val="24"/>
          <w:szCs w:val="24"/>
        </w:rPr>
      </w:pPr>
    </w:p>
    <w:p w14:paraId="2570B808" w14:textId="77777777" w:rsidR="0073066A" w:rsidRDefault="0073066A">
      <w:pPr>
        <w:spacing w:before="0" w:after="200" w:line="276" w:lineRule="auto"/>
        <w:rPr>
          <w:rFonts w:asciiTheme="minorHAnsi" w:hAnsiTheme="minorHAnsi" w:cstheme="minorHAnsi"/>
        </w:rPr>
      </w:pPr>
    </w:p>
    <w:p w14:paraId="7050DDA0" w14:textId="77777777" w:rsidR="0073066A" w:rsidRPr="0073066A" w:rsidRDefault="0073066A" w:rsidP="0073066A">
      <w:pPr>
        <w:rPr>
          <w:rFonts w:asciiTheme="minorHAnsi" w:hAnsiTheme="minorHAnsi" w:cstheme="minorHAnsi"/>
        </w:rPr>
      </w:pPr>
    </w:p>
    <w:p w14:paraId="69533158" w14:textId="77777777" w:rsidR="0073066A" w:rsidRPr="0073066A" w:rsidRDefault="0073066A" w:rsidP="0073066A">
      <w:pPr>
        <w:rPr>
          <w:rFonts w:asciiTheme="minorHAnsi" w:hAnsiTheme="minorHAnsi" w:cstheme="minorHAnsi"/>
        </w:rPr>
      </w:pPr>
    </w:p>
    <w:p w14:paraId="3798DE4D" w14:textId="77777777" w:rsidR="0073066A" w:rsidRPr="0073066A" w:rsidRDefault="0073066A" w:rsidP="0073066A">
      <w:pPr>
        <w:rPr>
          <w:rFonts w:asciiTheme="minorHAnsi" w:hAnsiTheme="minorHAnsi" w:cstheme="minorHAnsi"/>
        </w:rPr>
      </w:pPr>
    </w:p>
    <w:p w14:paraId="7E9507EF" w14:textId="77777777" w:rsidR="0073066A" w:rsidRDefault="0073066A" w:rsidP="0073066A">
      <w:pPr>
        <w:rPr>
          <w:rFonts w:asciiTheme="minorHAnsi" w:hAnsiTheme="minorHAnsi" w:cstheme="minorHAnsi"/>
        </w:rPr>
      </w:pPr>
    </w:p>
    <w:p w14:paraId="365E6578" w14:textId="77777777" w:rsidR="006D6BDB" w:rsidRPr="0073066A" w:rsidRDefault="006D6BDB" w:rsidP="0073066A">
      <w:pPr>
        <w:jc w:val="center"/>
        <w:rPr>
          <w:rFonts w:asciiTheme="minorHAnsi" w:hAnsiTheme="minorHAnsi" w:cstheme="minorHAnsi"/>
        </w:rPr>
      </w:pPr>
      <w:bookmarkStart w:id="0" w:name="_GoBack"/>
      <w:bookmarkEnd w:id="0"/>
    </w:p>
    <w:sectPr w:rsidR="006D6BDB" w:rsidRPr="0073066A" w:rsidSect="00793FE1">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41B47" w14:textId="77777777" w:rsidR="00F93902" w:rsidRDefault="00F93902" w:rsidP="000224DC">
      <w:pPr>
        <w:spacing w:before="0" w:after="0"/>
      </w:pPr>
      <w:r>
        <w:separator/>
      </w:r>
    </w:p>
  </w:endnote>
  <w:endnote w:type="continuationSeparator" w:id="0">
    <w:p w14:paraId="2C055B53" w14:textId="77777777" w:rsidR="00F93902" w:rsidRDefault="00F93902" w:rsidP="000224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31"/>
      <w:gridCol w:w="5225"/>
    </w:tblGrid>
    <w:tr w:rsidR="00035E88" w14:paraId="58EA5BFF" w14:textId="77777777" w:rsidTr="00D06F62">
      <w:tc>
        <w:tcPr>
          <w:tcW w:w="5341" w:type="dxa"/>
        </w:tcPr>
        <w:p w14:paraId="299D1641" w14:textId="77777777" w:rsidR="00035E88" w:rsidRPr="005E7D67" w:rsidRDefault="00035E88" w:rsidP="00D06F62">
          <w:pPr>
            <w:pStyle w:val="Footer"/>
            <w:rPr>
              <w:rFonts w:asciiTheme="minorHAnsi" w:hAnsiTheme="minorHAnsi"/>
            </w:rPr>
          </w:pPr>
          <w:r w:rsidRPr="005E7D67">
            <w:rPr>
              <w:rFonts w:asciiTheme="minorHAnsi" w:hAnsiTheme="minorHAnsi"/>
            </w:rPr>
            <w:t xml:space="preserve">Endorsed By: </w:t>
          </w:r>
          <w:r w:rsidR="0073066A" w:rsidRPr="005E7D67">
            <w:rPr>
              <w:rFonts w:asciiTheme="minorHAnsi" w:hAnsiTheme="minorHAnsi"/>
            </w:rPr>
            <w:t xml:space="preserve">NT </w:t>
          </w:r>
          <w:r w:rsidRPr="005E7D67">
            <w:rPr>
              <w:rFonts w:asciiTheme="minorHAnsi" w:hAnsiTheme="minorHAnsi"/>
            </w:rPr>
            <w:t>Pharmacy Premises Committee</w:t>
          </w:r>
        </w:p>
      </w:tc>
      <w:tc>
        <w:tcPr>
          <w:tcW w:w="5341" w:type="dxa"/>
        </w:tcPr>
        <w:p w14:paraId="0A6B7EC1" w14:textId="463403EA" w:rsidR="00035E88" w:rsidRPr="005E7D67" w:rsidRDefault="00035E88" w:rsidP="001966B3">
          <w:pPr>
            <w:pStyle w:val="Footer"/>
            <w:rPr>
              <w:rFonts w:asciiTheme="minorHAnsi" w:hAnsiTheme="minorHAnsi"/>
            </w:rPr>
          </w:pPr>
          <w:r w:rsidRPr="005E7D67">
            <w:rPr>
              <w:rFonts w:asciiTheme="minorHAnsi" w:hAnsiTheme="minorHAnsi"/>
            </w:rPr>
            <w:t xml:space="preserve">Effective Date: </w:t>
          </w:r>
          <w:r w:rsidR="001966B3">
            <w:rPr>
              <w:rFonts w:asciiTheme="minorHAnsi" w:hAnsiTheme="minorHAnsi"/>
            </w:rPr>
            <w:t>3 May 2024</w:t>
          </w:r>
        </w:p>
      </w:tc>
    </w:tr>
    <w:tr w:rsidR="00035E88" w14:paraId="5B6C1598" w14:textId="77777777" w:rsidTr="00D06F62">
      <w:tc>
        <w:tcPr>
          <w:tcW w:w="5341" w:type="dxa"/>
        </w:tcPr>
        <w:p w14:paraId="31D83415" w14:textId="32BD2FDE" w:rsidR="00035E88" w:rsidRPr="005E7D67" w:rsidRDefault="00035E88" w:rsidP="001966B3">
          <w:pPr>
            <w:pStyle w:val="Footer"/>
            <w:rPr>
              <w:rFonts w:asciiTheme="minorHAnsi" w:hAnsiTheme="minorHAnsi"/>
            </w:rPr>
          </w:pPr>
          <w:r w:rsidRPr="005E7D67">
            <w:rPr>
              <w:rFonts w:asciiTheme="minorHAnsi" w:hAnsiTheme="minorHAnsi"/>
            </w:rPr>
            <w:t xml:space="preserve">Last Reviewed: </w:t>
          </w:r>
          <w:r w:rsidR="00795624" w:rsidRPr="005E7D67">
            <w:rPr>
              <w:rFonts w:asciiTheme="minorHAnsi" w:hAnsiTheme="minorHAnsi"/>
            </w:rPr>
            <w:t xml:space="preserve">3 </w:t>
          </w:r>
          <w:r w:rsidR="001966B3">
            <w:rPr>
              <w:rFonts w:asciiTheme="minorHAnsi" w:hAnsiTheme="minorHAnsi"/>
            </w:rPr>
            <w:t>May 2024</w:t>
          </w:r>
        </w:p>
      </w:tc>
      <w:tc>
        <w:tcPr>
          <w:tcW w:w="5341" w:type="dxa"/>
        </w:tcPr>
        <w:p w14:paraId="4E52D96D" w14:textId="34F6EB4D" w:rsidR="00035E88" w:rsidRPr="005E7D67" w:rsidRDefault="00035E88" w:rsidP="001966B3">
          <w:pPr>
            <w:pStyle w:val="Footer"/>
            <w:rPr>
              <w:rFonts w:asciiTheme="minorHAnsi" w:hAnsiTheme="minorHAnsi"/>
            </w:rPr>
          </w:pPr>
          <w:r w:rsidRPr="005E7D67">
            <w:rPr>
              <w:rFonts w:asciiTheme="minorHAnsi" w:hAnsiTheme="minorHAnsi"/>
            </w:rPr>
            <w:t xml:space="preserve">Due For Review: </w:t>
          </w:r>
          <w:r w:rsidR="001966B3">
            <w:rPr>
              <w:rFonts w:asciiTheme="minorHAnsi" w:hAnsiTheme="minorHAnsi"/>
            </w:rPr>
            <w:t>May 2027</w:t>
          </w:r>
        </w:p>
      </w:tc>
    </w:tr>
  </w:tbl>
  <w:p w14:paraId="5C8550BE" w14:textId="77777777" w:rsidR="00035E88" w:rsidRDefault="00035E88">
    <w:pPr>
      <w:pStyle w:val="Footer"/>
      <w:jc w:val="center"/>
    </w:pPr>
  </w:p>
  <w:p w14:paraId="017771C7" w14:textId="3689506B" w:rsidR="00035E88" w:rsidRDefault="00F93902">
    <w:pPr>
      <w:pStyle w:val="Footer"/>
      <w:jc w:val="center"/>
    </w:pPr>
    <w:sdt>
      <w:sdtPr>
        <w:id w:val="4922614"/>
        <w:docPartObj>
          <w:docPartGallery w:val="Page Numbers (Bottom of Page)"/>
          <w:docPartUnique/>
        </w:docPartObj>
      </w:sdtPr>
      <w:sdtEndPr/>
      <w:sdtContent>
        <w:sdt>
          <w:sdtPr>
            <w:id w:val="565050477"/>
            <w:docPartObj>
              <w:docPartGallery w:val="Page Numbers (Top of Page)"/>
              <w:docPartUnique/>
            </w:docPartObj>
          </w:sdtPr>
          <w:sdtEndPr/>
          <w:sdtContent>
            <w:r w:rsidR="00035E88">
              <w:t xml:space="preserve">Page </w:t>
            </w:r>
            <w:r w:rsidR="004E74B1">
              <w:rPr>
                <w:b/>
                <w:sz w:val="24"/>
                <w:szCs w:val="24"/>
              </w:rPr>
              <w:fldChar w:fldCharType="begin"/>
            </w:r>
            <w:r w:rsidR="00035E88">
              <w:rPr>
                <w:b/>
              </w:rPr>
              <w:instrText xml:space="preserve"> PAGE </w:instrText>
            </w:r>
            <w:r w:rsidR="004E74B1">
              <w:rPr>
                <w:b/>
                <w:sz w:val="24"/>
                <w:szCs w:val="24"/>
              </w:rPr>
              <w:fldChar w:fldCharType="separate"/>
            </w:r>
            <w:r w:rsidR="001966B3">
              <w:rPr>
                <w:b/>
                <w:noProof/>
              </w:rPr>
              <w:t>1</w:t>
            </w:r>
            <w:r w:rsidR="004E74B1">
              <w:rPr>
                <w:b/>
                <w:sz w:val="24"/>
                <w:szCs w:val="24"/>
              </w:rPr>
              <w:fldChar w:fldCharType="end"/>
            </w:r>
            <w:r w:rsidR="00035E88">
              <w:t xml:space="preserve"> of </w:t>
            </w:r>
            <w:r w:rsidR="004E74B1">
              <w:rPr>
                <w:b/>
                <w:sz w:val="24"/>
                <w:szCs w:val="24"/>
              </w:rPr>
              <w:fldChar w:fldCharType="begin"/>
            </w:r>
            <w:r w:rsidR="00035E88">
              <w:rPr>
                <w:b/>
              </w:rPr>
              <w:instrText xml:space="preserve"> NUMPAGES  </w:instrText>
            </w:r>
            <w:r w:rsidR="004E74B1">
              <w:rPr>
                <w:b/>
                <w:sz w:val="24"/>
                <w:szCs w:val="24"/>
              </w:rPr>
              <w:fldChar w:fldCharType="separate"/>
            </w:r>
            <w:r w:rsidR="001966B3">
              <w:rPr>
                <w:b/>
                <w:noProof/>
              </w:rPr>
              <w:t>1</w:t>
            </w:r>
            <w:r w:rsidR="004E74B1">
              <w:rPr>
                <w:b/>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2BD97" w14:textId="77777777" w:rsidR="00F93902" w:rsidRDefault="00F93902" w:rsidP="000224DC">
      <w:pPr>
        <w:spacing w:before="0" w:after="0"/>
      </w:pPr>
      <w:r>
        <w:separator/>
      </w:r>
    </w:p>
  </w:footnote>
  <w:footnote w:type="continuationSeparator" w:id="0">
    <w:p w14:paraId="0ED422B7" w14:textId="77777777" w:rsidR="00F93902" w:rsidRDefault="00F93902" w:rsidP="000224D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56"/>
    </w:tblGrid>
    <w:tr w:rsidR="00035E88" w:rsidRPr="00035E88" w14:paraId="323ED50F" w14:textId="77777777" w:rsidTr="000D4CB2">
      <w:tc>
        <w:tcPr>
          <w:tcW w:w="10682" w:type="dxa"/>
        </w:tcPr>
        <w:p w14:paraId="1A93C6D0" w14:textId="77777777" w:rsidR="00035E88" w:rsidRPr="00035E88" w:rsidRDefault="00035E88" w:rsidP="009457A3">
          <w:pPr>
            <w:pStyle w:val="Header"/>
            <w:jc w:val="center"/>
            <w:rPr>
              <w:b/>
              <w:caps/>
              <w:color w:val="595959" w:themeColor="text1" w:themeTint="A6"/>
              <w:sz w:val="30"/>
              <w:szCs w:val="30"/>
            </w:rPr>
          </w:pPr>
          <w:r w:rsidRPr="00035E88">
            <w:rPr>
              <w:rFonts w:asciiTheme="minorHAnsi" w:hAnsiTheme="minorHAnsi"/>
              <w:b/>
              <w:caps/>
              <w:color w:val="595959" w:themeColor="text1" w:themeTint="A6"/>
              <w:sz w:val="30"/>
              <w:szCs w:val="30"/>
            </w:rPr>
            <w:t>Pharmacy Premises Committee OF THE NORTHERN TERRITORY</w:t>
          </w:r>
        </w:p>
      </w:tc>
    </w:tr>
    <w:tr w:rsidR="00035E88" w:rsidRPr="00035E88" w14:paraId="6A682E06" w14:textId="77777777" w:rsidTr="000D4CB2">
      <w:tc>
        <w:tcPr>
          <w:tcW w:w="10682" w:type="dxa"/>
        </w:tcPr>
        <w:p w14:paraId="2F805C78" w14:textId="77777777" w:rsidR="00035E88" w:rsidRPr="00035E88" w:rsidRDefault="00A315F4" w:rsidP="00A05080">
          <w:pPr>
            <w:pStyle w:val="Header"/>
            <w:jc w:val="center"/>
            <w:rPr>
              <w:b/>
              <w:color w:val="595959" w:themeColor="text1" w:themeTint="A6"/>
              <w:sz w:val="30"/>
              <w:szCs w:val="30"/>
            </w:rPr>
          </w:pPr>
          <w:r>
            <w:rPr>
              <w:rFonts w:asciiTheme="minorHAnsi" w:hAnsiTheme="minorHAnsi"/>
              <w:b/>
              <w:color w:val="595959" w:themeColor="text1" w:themeTint="A6"/>
              <w:sz w:val="30"/>
              <w:szCs w:val="30"/>
            </w:rPr>
            <w:t>PS7</w:t>
          </w:r>
          <w:r w:rsidR="00D11592">
            <w:rPr>
              <w:rFonts w:asciiTheme="minorHAnsi" w:hAnsiTheme="minorHAnsi"/>
              <w:b/>
              <w:color w:val="595959" w:themeColor="text1" w:themeTint="A6"/>
              <w:sz w:val="30"/>
              <w:szCs w:val="30"/>
            </w:rPr>
            <w:t xml:space="preserve"> </w:t>
          </w:r>
          <w:r w:rsidR="00035E88" w:rsidRPr="00035E88">
            <w:rPr>
              <w:rFonts w:asciiTheme="minorHAnsi" w:hAnsiTheme="minorHAnsi"/>
              <w:b/>
              <w:color w:val="595959" w:themeColor="text1" w:themeTint="A6"/>
              <w:sz w:val="30"/>
              <w:szCs w:val="30"/>
            </w:rPr>
            <w:t xml:space="preserve">Mandatory References </w:t>
          </w:r>
          <w:r w:rsidR="00A05080">
            <w:rPr>
              <w:rFonts w:asciiTheme="minorHAnsi" w:hAnsiTheme="minorHAnsi"/>
              <w:b/>
              <w:color w:val="595959" w:themeColor="text1" w:themeTint="A6"/>
              <w:sz w:val="30"/>
              <w:szCs w:val="30"/>
            </w:rPr>
            <w:t>– Pharmacy Businesses &amp; Pharmacy Departments</w:t>
          </w:r>
        </w:p>
      </w:tc>
    </w:tr>
  </w:tbl>
  <w:p w14:paraId="39BA927E" w14:textId="205B8D57" w:rsidR="00035E88" w:rsidRDefault="00035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1065B"/>
    <w:multiLevelType w:val="hybridMultilevel"/>
    <w:tmpl w:val="DCC85D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DD58F3"/>
    <w:multiLevelType w:val="hybridMultilevel"/>
    <w:tmpl w:val="7C92554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EDC3AF5"/>
    <w:multiLevelType w:val="hybridMultilevel"/>
    <w:tmpl w:val="EBAA675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A9D2788"/>
    <w:multiLevelType w:val="hybridMultilevel"/>
    <w:tmpl w:val="6A8E3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E1"/>
    <w:rsid w:val="00007470"/>
    <w:rsid w:val="000224DC"/>
    <w:rsid w:val="00023042"/>
    <w:rsid w:val="00025FB4"/>
    <w:rsid w:val="00035597"/>
    <w:rsid w:val="00035E88"/>
    <w:rsid w:val="00052388"/>
    <w:rsid w:val="00052C14"/>
    <w:rsid w:val="0006249D"/>
    <w:rsid w:val="000C5847"/>
    <w:rsid w:val="000D047F"/>
    <w:rsid w:val="000D4CB2"/>
    <w:rsid w:val="000E5A9A"/>
    <w:rsid w:val="0014167C"/>
    <w:rsid w:val="00162CB0"/>
    <w:rsid w:val="001756D7"/>
    <w:rsid w:val="001966B3"/>
    <w:rsid w:val="00197BB1"/>
    <w:rsid w:val="001A3E58"/>
    <w:rsid w:val="001E1360"/>
    <w:rsid w:val="00215D82"/>
    <w:rsid w:val="00292BF9"/>
    <w:rsid w:val="002A47DC"/>
    <w:rsid w:val="002E4E27"/>
    <w:rsid w:val="00325371"/>
    <w:rsid w:val="0038764E"/>
    <w:rsid w:val="003B5360"/>
    <w:rsid w:val="003C30ED"/>
    <w:rsid w:val="003F231F"/>
    <w:rsid w:val="00417132"/>
    <w:rsid w:val="00425C4B"/>
    <w:rsid w:val="00456F5C"/>
    <w:rsid w:val="00461FDB"/>
    <w:rsid w:val="00467C3E"/>
    <w:rsid w:val="0047041C"/>
    <w:rsid w:val="004742F7"/>
    <w:rsid w:val="004A48B5"/>
    <w:rsid w:val="004C2B7D"/>
    <w:rsid w:val="004C33D1"/>
    <w:rsid w:val="004D699B"/>
    <w:rsid w:val="004E62A2"/>
    <w:rsid w:val="004E74B1"/>
    <w:rsid w:val="005019B6"/>
    <w:rsid w:val="005038E1"/>
    <w:rsid w:val="00550861"/>
    <w:rsid w:val="005B4DFE"/>
    <w:rsid w:val="005C0CB5"/>
    <w:rsid w:val="005E7D67"/>
    <w:rsid w:val="006333D0"/>
    <w:rsid w:val="006D6BDB"/>
    <w:rsid w:val="006F1572"/>
    <w:rsid w:val="0073066A"/>
    <w:rsid w:val="00741C67"/>
    <w:rsid w:val="00742F2C"/>
    <w:rsid w:val="00752E6F"/>
    <w:rsid w:val="00756622"/>
    <w:rsid w:val="00773AA8"/>
    <w:rsid w:val="00793FE1"/>
    <w:rsid w:val="00795624"/>
    <w:rsid w:val="007A43F0"/>
    <w:rsid w:val="007C52C1"/>
    <w:rsid w:val="007D7EF5"/>
    <w:rsid w:val="00821DAF"/>
    <w:rsid w:val="008436D7"/>
    <w:rsid w:val="0085692E"/>
    <w:rsid w:val="00877AEE"/>
    <w:rsid w:val="00883E8B"/>
    <w:rsid w:val="009457A3"/>
    <w:rsid w:val="009934E8"/>
    <w:rsid w:val="009B0139"/>
    <w:rsid w:val="009D56D5"/>
    <w:rsid w:val="009D5DE8"/>
    <w:rsid w:val="00A05080"/>
    <w:rsid w:val="00A315F4"/>
    <w:rsid w:val="00A536C0"/>
    <w:rsid w:val="00A60153"/>
    <w:rsid w:val="00AB5146"/>
    <w:rsid w:val="00AB5848"/>
    <w:rsid w:val="00AD704F"/>
    <w:rsid w:val="00AE7AF4"/>
    <w:rsid w:val="00B13812"/>
    <w:rsid w:val="00B6493F"/>
    <w:rsid w:val="00B87885"/>
    <w:rsid w:val="00B908C8"/>
    <w:rsid w:val="00B9444D"/>
    <w:rsid w:val="00BC01AB"/>
    <w:rsid w:val="00BC1D26"/>
    <w:rsid w:val="00BD2416"/>
    <w:rsid w:val="00C0738C"/>
    <w:rsid w:val="00C335A5"/>
    <w:rsid w:val="00CA0721"/>
    <w:rsid w:val="00CA113C"/>
    <w:rsid w:val="00CB0FA6"/>
    <w:rsid w:val="00D066E7"/>
    <w:rsid w:val="00D06F62"/>
    <w:rsid w:val="00D11592"/>
    <w:rsid w:val="00D32472"/>
    <w:rsid w:val="00D34107"/>
    <w:rsid w:val="00D52EF7"/>
    <w:rsid w:val="00D5470B"/>
    <w:rsid w:val="00D76C51"/>
    <w:rsid w:val="00D7785D"/>
    <w:rsid w:val="00D835AA"/>
    <w:rsid w:val="00D87E97"/>
    <w:rsid w:val="00E01674"/>
    <w:rsid w:val="00E27183"/>
    <w:rsid w:val="00E41C0A"/>
    <w:rsid w:val="00E52051"/>
    <w:rsid w:val="00E531A9"/>
    <w:rsid w:val="00E769D8"/>
    <w:rsid w:val="00E820A2"/>
    <w:rsid w:val="00E87CA4"/>
    <w:rsid w:val="00E9218E"/>
    <w:rsid w:val="00EA2F43"/>
    <w:rsid w:val="00ED0D4F"/>
    <w:rsid w:val="00EE4870"/>
    <w:rsid w:val="00F16489"/>
    <w:rsid w:val="00F243BA"/>
    <w:rsid w:val="00F25504"/>
    <w:rsid w:val="00F32F77"/>
    <w:rsid w:val="00F848B2"/>
    <w:rsid w:val="00F93902"/>
    <w:rsid w:val="00FA30F1"/>
    <w:rsid w:val="00FF347E"/>
    <w:rsid w:val="00FF73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226C5"/>
  <w15:docId w15:val="{534378F7-57D3-46CC-82C9-8DBC523A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8E1"/>
    <w:pPr>
      <w:spacing w:before="120" w:after="12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38E1"/>
    <w:pPr>
      <w:spacing w:before="120"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038E1"/>
    <w:rPr>
      <w:color w:val="0000FF"/>
      <w:u w:val="single"/>
    </w:rPr>
  </w:style>
  <w:style w:type="paragraph" w:styleId="ListParagraph">
    <w:name w:val="List Paragraph"/>
    <w:basedOn w:val="Normal"/>
    <w:uiPriority w:val="34"/>
    <w:qFormat/>
    <w:rsid w:val="005038E1"/>
    <w:pPr>
      <w:ind w:left="720"/>
      <w:contextualSpacing/>
    </w:pPr>
  </w:style>
  <w:style w:type="paragraph" w:styleId="FootnoteText">
    <w:name w:val="footnote text"/>
    <w:basedOn w:val="Normal"/>
    <w:link w:val="FootnoteTextChar"/>
    <w:uiPriority w:val="99"/>
    <w:semiHidden/>
    <w:unhideWhenUsed/>
    <w:rsid w:val="000224DC"/>
    <w:pPr>
      <w:spacing w:before="0" w:after="0"/>
    </w:pPr>
    <w:rPr>
      <w:sz w:val="20"/>
      <w:szCs w:val="20"/>
    </w:rPr>
  </w:style>
  <w:style w:type="character" w:customStyle="1" w:styleId="FootnoteTextChar">
    <w:name w:val="Footnote Text Char"/>
    <w:basedOn w:val="DefaultParagraphFont"/>
    <w:link w:val="FootnoteText"/>
    <w:uiPriority w:val="99"/>
    <w:semiHidden/>
    <w:rsid w:val="000224DC"/>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0224DC"/>
    <w:rPr>
      <w:vertAlign w:val="superscript"/>
    </w:rPr>
  </w:style>
  <w:style w:type="paragraph" w:styleId="Header">
    <w:name w:val="header"/>
    <w:basedOn w:val="Normal"/>
    <w:link w:val="HeaderChar"/>
    <w:uiPriority w:val="99"/>
    <w:unhideWhenUsed/>
    <w:rsid w:val="00BC1D26"/>
    <w:pPr>
      <w:tabs>
        <w:tab w:val="center" w:pos="4513"/>
        <w:tab w:val="right" w:pos="9026"/>
      </w:tabs>
      <w:spacing w:before="0" w:after="0"/>
    </w:pPr>
  </w:style>
  <w:style w:type="character" w:customStyle="1" w:styleId="HeaderChar">
    <w:name w:val="Header Char"/>
    <w:basedOn w:val="DefaultParagraphFont"/>
    <w:link w:val="Header"/>
    <w:uiPriority w:val="99"/>
    <w:rsid w:val="00BC1D26"/>
    <w:rPr>
      <w:rFonts w:ascii="Arial" w:eastAsia="Times New Roman" w:hAnsi="Arial" w:cs="Times New Roman"/>
    </w:rPr>
  </w:style>
  <w:style w:type="paragraph" w:styleId="Footer">
    <w:name w:val="footer"/>
    <w:basedOn w:val="Normal"/>
    <w:link w:val="FooterChar"/>
    <w:uiPriority w:val="99"/>
    <w:unhideWhenUsed/>
    <w:rsid w:val="00BC1D26"/>
    <w:pPr>
      <w:tabs>
        <w:tab w:val="center" w:pos="4513"/>
        <w:tab w:val="right" w:pos="9026"/>
      </w:tabs>
      <w:spacing w:before="0" w:after="0"/>
    </w:pPr>
  </w:style>
  <w:style w:type="character" w:customStyle="1" w:styleId="FooterChar">
    <w:name w:val="Footer Char"/>
    <w:basedOn w:val="DefaultParagraphFont"/>
    <w:link w:val="Footer"/>
    <w:uiPriority w:val="99"/>
    <w:rsid w:val="00BC1D26"/>
    <w:rPr>
      <w:rFonts w:ascii="Arial" w:eastAsia="Times New Roman" w:hAnsi="Arial" w:cs="Times New Roman"/>
    </w:rPr>
  </w:style>
  <w:style w:type="paragraph" w:styleId="BalloonText">
    <w:name w:val="Balloon Text"/>
    <w:basedOn w:val="Normal"/>
    <w:link w:val="BalloonTextChar"/>
    <w:uiPriority w:val="99"/>
    <w:semiHidden/>
    <w:unhideWhenUsed/>
    <w:rsid w:val="002A47D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7DC"/>
    <w:rPr>
      <w:rFonts w:ascii="Tahoma" w:eastAsia="Times New Roman" w:hAnsi="Tahoma" w:cs="Tahoma"/>
      <w:sz w:val="16"/>
      <w:szCs w:val="16"/>
    </w:rPr>
  </w:style>
  <w:style w:type="character" w:styleId="PageNumber">
    <w:name w:val="page number"/>
    <w:basedOn w:val="DefaultParagraphFont"/>
    <w:rsid w:val="002A47DC"/>
  </w:style>
  <w:style w:type="character" w:styleId="FollowedHyperlink">
    <w:name w:val="FollowedHyperlink"/>
    <w:basedOn w:val="DefaultParagraphFont"/>
    <w:uiPriority w:val="99"/>
    <w:semiHidden/>
    <w:unhideWhenUsed/>
    <w:rsid w:val="009457A3"/>
    <w:rPr>
      <w:color w:val="800080" w:themeColor="followedHyperlink"/>
      <w:u w:val="single"/>
    </w:rPr>
  </w:style>
  <w:style w:type="paragraph" w:customStyle="1" w:styleId="AHPRADocumenttitle">
    <w:name w:val="AHPRA Document title"/>
    <w:basedOn w:val="Normal"/>
    <w:rsid w:val="00A60153"/>
    <w:pPr>
      <w:spacing w:before="200" w:after="200"/>
      <w:outlineLvl w:val="0"/>
    </w:pPr>
    <w:rPr>
      <w:rFonts w:eastAsia="Cambria" w:cs="Arial"/>
      <w:color w:val="00BCE4"/>
      <w:sz w:val="32"/>
      <w:szCs w:val="52"/>
      <w:lang w:val="en-US"/>
    </w:rPr>
  </w:style>
  <w:style w:type="paragraph" w:customStyle="1" w:styleId="AHPRASubhead">
    <w:name w:val="AHPRA Subhead"/>
    <w:basedOn w:val="Normal"/>
    <w:qFormat/>
    <w:rsid w:val="00A60153"/>
    <w:pPr>
      <w:spacing w:before="0" w:after="200"/>
    </w:pPr>
    <w:rPr>
      <w:rFonts w:eastAsia="Cambria"/>
      <w:b/>
      <w:color w:val="008EC4"/>
      <w:sz w:val="20"/>
      <w:szCs w:val="24"/>
      <w:lang w:val="en-US"/>
    </w:rPr>
  </w:style>
  <w:style w:type="character" w:styleId="CommentReference">
    <w:name w:val="annotation reference"/>
    <w:basedOn w:val="DefaultParagraphFont"/>
    <w:uiPriority w:val="99"/>
    <w:semiHidden/>
    <w:unhideWhenUsed/>
    <w:rsid w:val="00E531A9"/>
    <w:rPr>
      <w:sz w:val="16"/>
      <w:szCs w:val="16"/>
    </w:rPr>
  </w:style>
  <w:style w:type="paragraph" w:styleId="CommentText">
    <w:name w:val="annotation text"/>
    <w:basedOn w:val="Normal"/>
    <w:link w:val="CommentTextChar"/>
    <w:uiPriority w:val="99"/>
    <w:semiHidden/>
    <w:unhideWhenUsed/>
    <w:rsid w:val="00E531A9"/>
    <w:rPr>
      <w:sz w:val="20"/>
      <w:szCs w:val="20"/>
    </w:rPr>
  </w:style>
  <w:style w:type="character" w:customStyle="1" w:styleId="CommentTextChar">
    <w:name w:val="Comment Text Char"/>
    <w:basedOn w:val="DefaultParagraphFont"/>
    <w:link w:val="CommentText"/>
    <w:uiPriority w:val="99"/>
    <w:semiHidden/>
    <w:rsid w:val="00E531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531A9"/>
    <w:rPr>
      <w:b/>
      <w:bCs/>
    </w:rPr>
  </w:style>
  <w:style w:type="character" w:customStyle="1" w:styleId="CommentSubjectChar">
    <w:name w:val="Comment Subject Char"/>
    <w:basedOn w:val="CommentTextChar"/>
    <w:link w:val="CommentSubject"/>
    <w:uiPriority w:val="99"/>
    <w:semiHidden/>
    <w:rsid w:val="00E531A9"/>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22512">
      <w:bodyDiv w:val="1"/>
      <w:marLeft w:val="0"/>
      <w:marRight w:val="0"/>
      <w:marTop w:val="0"/>
      <w:marBottom w:val="0"/>
      <w:divBdr>
        <w:top w:val="none" w:sz="0" w:space="0" w:color="auto"/>
        <w:left w:val="none" w:sz="0" w:space="0" w:color="auto"/>
        <w:bottom w:val="none" w:sz="0" w:space="0" w:color="auto"/>
        <w:right w:val="none" w:sz="0" w:space="0" w:color="auto"/>
      </w:divBdr>
    </w:div>
    <w:div w:id="77771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harmacyboard.gov.au/Codes-Guideline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ABA5C-BB70-47C5-A6F3-84A6CF6C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Northern Territory Government</dc:creator>
  <cp:lastModifiedBy>Peter Kern</cp:lastModifiedBy>
  <cp:revision>4</cp:revision>
  <cp:lastPrinted>2018-09-20T06:44:00Z</cp:lastPrinted>
  <dcterms:created xsi:type="dcterms:W3CDTF">2024-03-25T05:30:00Z</dcterms:created>
  <dcterms:modified xsi:type="dcterms:W3CDTF">2024-05-13T02:35:00Z</dcterms:modified>
</cp:coreProperties>
</file>