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F488" w14:textId="77777777" w:rsidR="00886C9D" w:rsidRPr="00886C9D" w:rsidRDefault="003E1A34" w:rsidP="00886C9D">
      <w:pPr>
        <w:pStyle w:val="Title"/>
      </w:pPr>
      <w:r>
        <w:t xml:space="preserve">NT </w:t>
      </w:r>
      <w:sdt>
        <w:sdtPr>
          <w:alias w:val="Title"/>
          <w:tag w:val="Title"/>
          <w:id w:val="-509987125"/>
          <w:lock w:val="sdtLocked"/>
          <w:placeholder>
            <w:docPart w:val="77F5B1C1E9764D28AAC2B9E9377AF8F5"/>
          </w:placeholder>
          <w:dataBinding w:prefixMappings="xmlns:ns0='http://purl.org/dc/elements/1.1/' xmlns:ns1='http://schemas.openxmlformats.org/package/2006/metadata/core-properties' " w:xpath="/ns1:coreProperties[1]/ns0:title[1]" w:storeItemID="{6C3C8BC8-F283-45AE-878A-BAB7291924A1}"/>
          <w:text w:multiLine="1"/>
        </w:sdtPr>
        <w:sdtContent>
          <w:r w:rsidR="00AB7EE6">
            <w:t>Pharmacy Premises Committee</w:t>
          </w:r>
        </w:sdtContent>
      </w:sdt>
    </w:p>
    <w:p w14:paraId="7549BF9F" w14:textId="77777777" w:rsidR="00BD0F38" w:rsidRPr="00E77ACA" w:rsidRDefault="00AB7EE6" w:rsidP="00E77ACA">
      <w:pPr>
        <w:pStyle w:val="Subtitle0"/>
        <w:sectPr w:rsidR="00BD0F38" w:rsidRPr="00E77ACA" w:rsidSect="00630E95">
          <w:headerReference w:type="default" r:id="rId9"/>
          <w:footerReference w:type="default" r:id="rId10"/>
          <w:headerReference w:type="first" r:id="rId11"/>
          <w:footerReference w:type="first" r:id="rId12"/>
          <w:pgSz w:w="11906" w:h="16838" w:code="9"/>
          <w:pgMar w:top="244" w:right="794" w:bottom="244" w:left="794" w:header="794" w:footer="794" w:gutter="0"/>
          <w:cols w:space="708"/>
          <w:titlePg/>
          <w:docGrid w:linePitch="360"/>
        </w:sectPr>
      </w:pPr>
      <w:r>
        <w:t>PS10 Premises Standard for Pharmacy Departments</w:t>
      </w:r>
    </w:p>
    <w:tbl>
      <w:tblPr>
        <w:tblStyle w:val="NTGtable1"/>
        <w:tblW w:w="10348" w:type="dxa"/>
        <w:tblLook w:val="0480" w:firstRow="0" w:lastRow="0" w:firstColumn="1" w:lastColumn="0" w:noHBand="0" w:noVBand="1"/>
      </w:tblPr>
      <w:tblGrid>
        <w:gridCol w:w="2410"/>
        <w:gridCol w:w="7938"/>
      </w:tblGrid>
      <w:tr w:rsidR="00832B35" w14:paraId="496A4AE4"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29493C23"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7994E18E" w14:textId="77777777" w:rsidR="00832B35"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B2ED96FE2E494A58804610CA67029AE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AB7EE6">
                  <w:t>Pharmacy Premises Committee</w:t>
                </w:r>
              </w:sdtContent>
            </w:sdt>
          </w:p>
          <w:p w14:paraId="5F9DF26E" w14:textId="77777777" w:rsidR="002560AF" w:rsidRPr="00050358" w:rsidRDefault="002560AF" w:rsidP="00050358">
            <w:pPr>
              <w:cnfStyle w:val="000000100000" w:firstRow="0" w:lastRow="0" w:firstColumn="0" w:lastColumn="0" w:oddVBand="0" w:evenVBand="0" w:oddHBand="1" w:evenHBand="0" w:firstRowFirstColumn="0" w:firstRowLastColumn="0" w:lastRowFirstColumn="0" w:lastRowLastColumn="0"/>
            </w:pPr>
            <w:r>
              <w:t>PS10 Premises Standard for Pharmacy Departments</w:t>
            </w:r>
          </w:p>
        </w:tc>
      </w:tr>
      <w:tr w:rsidR="00832B35" w14:paraId="21083FF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DC7DA0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470335A6" w14:textId="77777777" w:rsidR="00832B35" w:rsidRDefault="002560AF" w:rsidP="00050358">
            <w:pPr>
              <w:cnfStyle w:val="000000010000" w:firstRow="0" w:lastRow="0" w:firstColumn="0" w:lastColumn="0" w:oddVBand="0" w:evenVBand="0" w:oddHBand="0" w:evenHBand="1" w:firstRowFirstColumn="0" w:firstRowLastColumn="0" w:lastRowFirstColumn="0" w:lastRowLastColumn="0"/>
            </w:pPr>
            <w:r>
              <w:t>Registrar, Pharmacy Premises Committee</w:t>
            </w:r>
          </w:p>
          <w:p w14:paraId="3CDA62AC" w14:textId="122D9D4C" w:rsidR="002560AF" w:rsidRPr="00050358" w:rsidRDefault="002560AF" w:rsidP="00AB409E">
            <w:pPr>
              <w:cnfStyle w:val="000000010000" w:firstRow="0" w:lastRow="0" w:firstColumn="0" w:lastColumn="0" w:oddVBand="0" w:evenVBand="0" w:oddHBand="0" w:evenHBand="1" w:firstRowFirstColumn="0" w:firstRowLastColumn="0" w:lastRowFirstColumn="0" w:lastRowLastColumn="0"/>
            </w:pPr>
            <w:r>
              <w:t>Medicines and Poisons</w:t>
            </w:r>
          </w:p>
        </w:tc>
      </w:tr>
      <w:tr w:rsidR="00832B35" w14:paraId="56ABB66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5489EA20"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49E7A4D7" w14:textId="77777777" w:rsidR="00832B35" w:rsidRPr="00050358" w:rsidRDefault="002560AF" w:rsidP="00050358">
            <w:pPr>
              <w:cnfStyle w:val="000000100000" w:firstRow="0" w:lastRow="0" w:firstColumn="0" w:lastColumn="0" w:oddVBand="0" w:evenVBand="0" w:oddHBand="1" w:evenHBand="0" w:firstRowFirstColumn="0" w:firstRowLastColumn="0" w:lastRowFirstColumn="0" w:lastRowLastColumn="0"/>
            </w:pPr>
            <w:r>
              <w:t>Pharmacy Premises Committee</w:t>
            </w:r>
          </w:p>
        </w:tc>
      </w:tr>
      <w:tr w:rsidR="00832B35" w14:paraId="153775F0"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14826A23"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6A2E81D3" w14:textId="2C87B7CC" w:rsidR="00832B35" w:rsidRPr="00050358" w:rsidRDefault="00AB409E" w:rsidP="00050358">
            <w:pPr>
              <w:cnfStyle w:val="000000010000" w:firstRow="0" w:lastRow="0" w:firstColumn="0" w:lastColumn="0" w:oddVBand="0" w:evenVBand="0" w:oddHBand="0" w:evenHBand="1" w:firstRowFirstColumn="0" w:firstRowLastColumn="0" w:lastRowFirstColumn="0" w:lastRowLastColumn="0"/>
            </w:pPr>
            <w:r>
              <w:t>30 October 2025</w:t>
            </w:r>
          </w:p>
        </w:tc>
      </w:tr>
      <w:tr w:rsidR="00832B35" w14:paraId="6DF9FEDB"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BB43C73"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14:paraId="1C7FCD77" w14:textId="099011CA" w:rsidR="00832B35" w:rsidRPr="00050358" w:rsidRDefault="000665C7" w:rsidP="00050358">
            <w:pPr>
              <w:cnfStyle w:val="000000100000" w:firstRow="0" w:lastRow="0" w:firstColumn="0" w:lastColumn="0" w:oddVBand="0" w:evenVBand="0" w:oddHBand="1" w:evenHBand="0" w:firstRowFirstColumn="0" w:firstRowLastColumn="0" w:lastRowFirstColumn="0" w:lastRowLastColumn="0"/>
            </w:pPr>
            <w:r>
              <w:t xml:space="preserve"> 1 year to conduct a review (3 years normally applied)</w:t>
            </w:r>
          </w:p>
        </w:tc>
      </w:tr>
      <w:tr w:rsidR="00832B35" w14:paraId="0D5F8E7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2AB31357"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343FC46E" w14:textId="045E116E" w:rsidR="00832B35" w:rsidRPr="00050358" w:rsidRDefault="00AB7EE6" w:rsidP="00381433">
            <w:pPr>
              <w:cnfStyle w:val="000000010000" w:firstRow="0" w:lastRow="0" w:firstColumn="0" w:lastColumn="0" w:oddVBand="0" w:evenVBand="0" w:oddHBand="0" w:evenHBand="1" w:firstRowFirstColumn="0" w:firstRowLastColumn="0" w:lastRowFirstColumn="0" w:lastRowLastColumn="0"/>
            </w:pPr>
            <w:r>
              <w:t>EFILE2018/</w:t>
            </w:r>
            <w:r w:rsidR="002560AF">
              <w:t>14832-10</w:t>
            </w:r>
          </w:p>
        </w:tc>
      </w:tr>
    </w:tbl>
    <w:p w14:paraId="25E88721"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5CA596D7"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494BD0D"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925812D"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6ED972F0"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71B47FE" w14:textId="77777777" w:rsidR="003223FE" w:rsidRPr="00050358" w:rsidRDefault="003223FE" w:rsidP="00050358">
            <w:r w:rsidRPr="00050358">
              <w:t>Changes made</w:t>
            </w:r>
          </w:p>
        </w:tc>
      </w:tr>
      <w:tr w:rsidR="003223FE" w:rsidRPr="00050358" w14:paraId="091A56A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7989F74" w14:textId="77777777" w:rsidR="003223FE" w:rsidRPr="007648AB" w:rsidRDefault="00E4549C" w:rsidP="00050358">
            <w:r w:rsidRPr="007648AB">
              <w:t>1.0</w:t>
            </w:r>
          </w:p>
        </w:tc>
        <w:tc>
          <w:tcPr>
            <w:cnfStyle w:val="000001000000" w:firstRow="0" w:lastRow="0" w:firstColumn="0" w:lastColumn="0" w:oddVBand="0" w:evenVBand="1" w:oddHBand="0" w:evenHBand="0" w:firstRowFirstColumn="0" w:firstRowLastColumn="0" w:lastRowFirstColumn="0" w:lastRowLastColumn="0"/>
            <w:tcW w:w="2268" w:type="dxa"/>
          </w:tcPr>
          <w:p w14:paraId="152A0DD2" w14:textId="77777777" w:rsidR="003223FE" w:rsidRPr="007648AB" w:rsidRDefault="00E4549C" w:rsidP="00050358">
            <w:r w:rsidRPr="007648AB">
              <w:t>27 April 2016</w:t>
            </w:r>
          </w:p>
        </w:tc>
        <w:tc>
          <w:tcPr>
            <w:cnfStyle w:val="000010000000" w:firstRow="0" w:lastRow="0" w:firstColumn="0" w:lastColumn="0" w:oddVBand="1" w:evenVBand="0" w:oddHBand="0" w:evenHBand="0" w:firstRowFirstColumn="0" w:firstRowLastColumn="0" w:lastRowFirstColumn="0" w:lastRowLastColumn="0"/>
            <w:tcW w:w="2551" w:type="dxa"/>
          </w:tcPr>
          <w:p w14:paraId="0960DB41" w14:textId="77777777" w:rsidR="003223FE" w:rsidRPr="007648AB" w:rsidRDefault="00E4549C" w:rsidP="00050358">
            <w:r w:rsidRPr="007648AB">
              <w:t>Peter Kern</w:t>
            </w:r>
          </w:p>
        </w:tc>
        <w:tc>
          <w:tcPr>
            <w:cnfStyle w:val="000100000000" w:firstRow="0" w:lastRow="0" w:firstColumn="0" w:lastColumn="1" w:oddVBand="0" w:evenVBand="0" w:oddHBand="0" w:evenHBand="0" w:firstRowFirstColumn="0" w:firstRowLastColumn="0" w:lastRowFirstColumn="0" w:lastRowLastColumn="0"/>
            <w:tcW w:w="4394" w:type="dxa"/>
          </w:tcPr>
          <w:p w14:paraId="63C7F54C" w14:textId="77777777" w:rsidR="003223FE" w:rsidRPr="007648AB" w:rsidRDefault="003223FE" w:rsidP="00E4549C">
            <w:r w:rsidRPr="007648AB">
              <w:t>First version</w:t>
            </w:r>
          </w:p>
        </w:tc>
      </w:tr>
      <w:tr w:rsidR="003223FE" w:rsidRPr="00050358" w14:paraId="0EB4A44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27B09AD" w14:textId="77777777" w:rsidR="003223FE" w:rsidRPr="007648AB" w:rsidRDefault="00E4549C" w:rsidP="00050358">
            <w:r w:rsidRPr="007648AB">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2F16DA" w14:textId="77777777" w:rsidR="003223FE" w:rsidRPr="007648AB" w:rsidRDefault="00E4549C" w:rsidP="00050358">
            <w:r w:rsidRPr="007648AB">
              <w:t>21 September 2018</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0A8C7D58" w14:textId="77777777" w:rsidR="003223FE" w:rsidRPr="007648AB" w:rsidRDefault="00E4549C" w:rsidP="00F615DF">
            <w:r w:rsidRPr="007648AB">
              <w:t xml:space="preserve">Peter </w:t>
            </w:r>
            <w:r w:rsidR="00F615DF" w:rsidRPr="007648AB">
              <w:t>K</w:t>
            </w:r>
            <w:r w:rsidRPr="007648AB">
              <w:t>ern</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4AB14BC5" w14:textId="77777777" w:rsidR="003223FE" w:rsidRPr="007648AB" w:rsidRDefault="00E4549C" w:rsidP="00050358">
            <w:r w:rsidRPr="007648AB">
              <w:t>Minor edits</w:t>
            </w:r>
          </w:p>
        </w:tc>
      </w:tr>
      <w:tr w:rsidR="003223FE" w:rsidRPr="00050358" w14:paraId="40BF5DFD" w14:textId="77777777" w:rsidTr="00E4549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30E035E" w14:textId="77777777" w:rsidR="003223FE" w:rsidRPr="007648AB" w:rsidRDefault="00E4549C" w:rsidP="00050358">
            <w:r w:rsidRPr="007648AB">
              <w:t>1.2</w:t>
            </w:r>
          </w:p>
        </w:tc>
        <w:tc>
          <w:tcPr>
            <w:cnfStyle w:val="000001000000" w:firstRow="0" w:lastRow="0" w:firstColumn="0" w:lastColumn="0" w:oddVBand="0" w:evenVBand="1" w:oddHBand="0" w:evenHBand="0" w:firstRowFirstColumn="0" w:firstRowLastColumn="0" w:lastRowFirstColumn="0" w:lastRowLastColumn="0"/>
            <w:tcW w:w="2268" w:type="dxa"/>
          </w:tcPr>
          <w:p w14:paraId="0BA3F801" w14:textId="77777777" w:rsidR="003223FE" w:rsidRPr="007648AB" w:rsidRDefault="00E4549C" w:rsidP="00050358">
            <w:r w:rsidRPr="007648AB">
              <w:t>3 March 2020</w:t>
            </w:r>
          </w:p>
        </w:tc>
        <w:tc>
          <w:tcPr>
            <w:cnfStyle w:val="000010000000" w:firstRow="0" w:lastRow="0" w:firstColumn="0" w:lastColumn="0" w:oddVBand="1" w:evenVBand="0" w:oddHBand="0" w:evenHBand="0" w:firstRowFirstColumn="0" w:firstRowLastColumn="0" w:lastRowFirstColumn="0" w:lastRowLastColumn="0"/>
            <w:tcW w:w="2551" w:type="dxa"/>
          </w:tcPr>
          <w:p w14:paraId="2C6E0373" w14:textId="77777777" w:rsidR="003223FE" w:rsidRPr="007648AB" w:rsidRDefault="00E4549C" w:rsidP="00050358">
            <w:r w:rsidRPr="007648AB">
              <w:t>Peter Kern</w:t>
            </w:r>
          </w:p>
        </w:tc>
        <w:tc>
          <w:tcPr>
            <w:cnfStyle w:val="000100000000" w:firstRow="0" w:lastRow="0" w:firstColumn="0" w:lastColumn="1" w:oddVBand="0" w:evenVBand="0" w:oddHBand="0" w:evenHBand="0" w:firstRowFirstColumn="0" w:firstRowLastColumn="0" w:lastRowFirstColumn="0" w:lastRowLastColumn="0"/>
            <w:tcW w:w="4394" w:type="dxa"/>
          </w:tcPr>
          <w:p w14:paraId="13871864" w14:textId="77777777" w:rsidR="003223FE" w:rsidRPr="007648AB" w:rsidRDefault="00E4549C" w:rsidP="00050358">
            <w:r w:rsidRPr="007648AB">
              <w:t>Edits to remove term - manufacturing</w:t>
            </w:r>
          </w:p>
        </w:tc>
      </w:tr>
      <w:tr w:rsidR="00E4549C" w:rsidRPr="00050358" w14:paraId="2E7A19F9" w14:textId="77777777" w:rsidTr="00AB591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8858C74" w14:textId="77777777" w:rsidR="00E4549C" w:rsidRPr="007648AB" w:rsidRDefault="00E4549C" w:rsidP="00050358">
            <w:r w:rsidRPr="007648AB">
              <w:t>1.3</w:t>
            </w:r>
          </w:p>
        </w:tc>
        <w:tc>
          <w:tcPr>
            <w:cnfStyle w:val="000001000000" w:firstRow="0" w:lastRow="0" w:firstColumn="0" w:lastColumn="0" w:oddVBand="0" w:evenVBand="1" w:oddHBand="0" w:evenHBand="0" w:firstRowFirstColumn="0" w:firstRowLastColumn="0" w:lastRowFirstColumn="0" w:lastRowLastColumn="0"/>
            <w:tcW w:w="2268" w:type="dxa"/>
          </w:tcPr>
          <w:p w14:paraId="0669F3F1" w14:textId="77777777" w:rsidR="00E4549C" w:rsidRPr="007648AB" w:rsidRDefault="00F615DF" w:rsidP="00050358">
            <w:r w:rsidRPr="007648AB">
              <w:t>10</w:t>
            </w:r>
            <w:r w:rsidR="00E4549C" w:rsidRPr="007648AB">
              <w:t xml:space="preserve"> May 2021</w:t>
            </w:r>
          </w:p>
        </w:tc>
        <w:tc>
          <w:tcPr>
            <w:cnfStyle w:val="000010000000" w:firstRow="0" w:lastRow="0" w:firstColumn="0" w:lastColumn="0" w:oddVBand="1" w:evenVBand="0" w:oddHBand="0" w:evenHBand="0" w:firstRowFirstColumn="0" w:firstRowLastColumn="0" w:lastRowFirstColumn="0" w:lastRowLastColumn="0"/>
            <w:tcW w:w="2551" w:type="dxa"/>
          </w:tcPr>
          <w:p w14:paraId="29C02810" w14:textId="77777777" w:rsidR="00E4549C" w:rsidRPr="007648AB" w:rsidRDefault="00E4549C" w:rsidP="00050358">
            <w:r w:rsidRPr="007648AB">
              <w:t>Peter Kern</w:t>
            </w:r>
          </w:p>
        </w:tc>
        <w:tc>
          <w:tcPr>
            <w:cnfStyle w:val="000100000000" w:firstRow="0" w:lastRow="0" w:firstColumn="0" w:lastColumn="1" w:oddVBand="0" w:evenVBand="0" w:oddHBand="0" w:evenHBand="0" w:firstRowFirstColumn="0" w:firstRowLastColumn="0" w:lastRowFirstColumn="0" w:lastRowLastColumn="0"/>
            <w:tcW w:w="4394" w:type="dxa"/>
          </w:tcPr>
          <w:p w14:paraId="4BCDBA8A" w14:textId="77777777" w:rsidR="00E4549C" w:rsidRPr="007648AB" w:rsidRDefault="00E4549C" w:rsidP="00050358">
            <w:r w:rsidRPr="007648AB">
              <w:t>New format</w:t>
            </w:r>
          </w:p>
        </w:tc>
      </w:tr>
      <w:tr w:rsidR="00AB5913" w:rsidRPr="00050358" w14:paraId="6FB6DC86" w14:textId="77777777" w:rsidTr="0038143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D433722" w14:textId="77777777" w:rsidR="00AB5913" w:rsidRPr="007648AB" w:rsidRDefault="00AB5913" w:rsidP="00050358">
            <w:r w:rsidRPr="007648AB">
              <w:t>1.4</w:t>
            </w:r>
          </w:p>
        </w:tc>
        <w:tc>
          <w:tcPr>
            <w:cnfStyle w:val="000001000000" w:firstRow="0" w:lastRow="0" w:firstColumn="0" w:lastColumn="0" w:oddVBand="0" w:evenVBand="1" w:oddHBand="0" w:evenHBand="0" w:firstRowFirstColumn="0" w:firstRowLastColumn="0" w:lastRowFirstColumn="0" w:lastRowLastColumn="0"/>
            <w:tcW w:w="2268" w:type="dxa"/>
          </w:tcPr>
          <w:p w14:paraId="36A6C661" w14:textId="77777777" w:rsidR="00AB5913" w:rsidRPr="007648AB" w:rsidRDefault="00AB5913" w:rsidP="00050358">
            <w:r w:rsidRPr="007648AB">
              <w:t>29 November 2021</w:t>
            </w:r>
          </w:p>
        </w:tc>
        <w:tc>
          <w:tcPr>
            <w:cnfStyle w:val="000010000000" w:firstRow="0" w:lastRow="0" w:firstColumn="0" w:lastColumn="0" w:oddVBand="1" w:evenVBand="0" w:oddHBand="0" w:evenHBand="0" w:firstRowFirstColumn="0" w:firstRowLastColumn="0" w:lastRowFirstColumn="0" w:lastRowLastColumn="0"/>
            <w:tcW w:w="2551" w:type="dxa"/>
          </w:tcPr>
          <w:p w14:paraId="37154577" w14:textId="77777777" w:rsidR="00AB5913" w:rsidRPr="007648AB" w:rsidRDefault="00AB5913" w:rsidP="00050358">
            <w:r w:rsidRPr="007648AB">
              <w:t>Peter Kern</w:t>
            </w:r>
          </w:p>
        </w:tc>
        <w:tc>
          <w:tcPr>
            <w:cnfStyle w:val="000100000000" w:firstRow="0" w:lastRow="0" w:firstColumn="0" w:lastColumn="1" w:oddVBand="0" w:evenVBand="0" w:oddHBand="0" w:evenHBand="0" w:firstRowFirstColumn="0" w:firstRowLastColumn="0" w:lastRowFirstColumn="0" w:lastRowLastColumn="0"/>
            <w:tcW w:w="4394" w:type="dxa"/>
          </w:tcPr>
          <w:p w14:paraId="4616B1FC" w14:textId="77777777" w:rsidR="00AB5913" w:rsidRPr="007648AB" w:rsidRDefault="00AB5913" w:rsidP="00050358">
            <w:r w:rsidRPr="007648AB">
              <w:t>Minor edits</w:t>
            </w:r>
          </w:p>
        </w:tc>
      </w:tr>
      <w:tr w:rsidR="00381433" w:rsidRPr="00050358" w14:paraId="147ED997" w14:textId="77777777" w:rsidTr="000665C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E2739D" w14:textId="2DE3E3D0" w:rsidR="00381433" w:rsidRPr="007648AB" w:rsidRDefault="00381433" w:rsidP="00050358">
            <w:r>
              <w:t>1.5</w:t>
            </w:r>
          </w:p>
        </w:tc>
        <w:tc>
          <w:tcPr>
            <w:cnfStyle w:val="000001000000" w:firstRow="0" w:lastRow="0" w:firstColumn="0" w:lastColumn="0" w:oddVBand="0" w:evenVBand="1" w:oddHBand="0" w:evenHBand="0" w:firstRowFirstColumn="0" w:firstRowLastColumn="0" w:lastRowFirstColumn="0" w:lastRowLastColumn="0"/>
            <w:tcW w:w="2268" w:type="dxa"/>
          </w:tcPr>
          <w:p w14:paraId="507A5BE0" w14:textId="35CEDABF" w:rsidR="00381433" w:rsidRPr="007648AB" w:rsidRDefault="00381433" w:rsidP="00050358">
            <w:r>
              <w:t>17 August</w:t>
            </w:r>
            <w:r w:rsidR="00EB6AD2">
              <w:t xml:space="preserve"> 2022</w:t>
            </w:r>
          </w:p>
        </w:tc>
        <w:tc>
          <w:tcPr>
            <w:cnfStyle w:val="000010000000" w:firstRow="0" w:lastRow="0" w:firstColumn="0" w:lastColumn="0" w:oddVBand="1" w:evenVBand="0" w:oddHBand="0" w:evenHBand="0" w:firstRowFirstColumn="0" w:firstRowLastColumn="0" w:lastRowFirstColumn="0" w:lastRowLastColumn="0"/>
            <w:tcW w:w="2551" w:type="dxa"/>
          </w:tcPr>
          <w:p w14:paraId="01237460" w14:textId="715E5F3F" w:rsidR="00381433" w:rsidRPr="007648AB" w:rsidRDefault="00381433" w:rsidP="00050358">
            <w:r>
              <w:t>Peter Kern</w:t>
            </w:r>
          </w:p>
        </w:tc>
        <w:tc>
          <w:tcPr>
            <w:cnfStyle w:val="000100000000" w:firstRow="0" w:lastRow="0" w:firstColumn="0" w:lastColumn="1" w:oddVBand="0" w:evenVBand="0" w:oddHBand="0" w:evenHBand="0" w:firstRowFirstColumn="0" w:firstRowLastColumn="0" w:lastRowFirstColumn="0" w:lastRowLastColumn="0"/>
            <w:tcW w:w="4394" w:type="dxa"/>
          </w:tcPr>
          <w:p w14:paraId="48342BBD" w14:textId="327EA164" w:rsidR="00381433" w:rsidRPr="007648AB" w:rsidRDefault="00381433" w:rsidP="00050358">
            <w:r>
              <w:t>Minor edits</w:t>
            </w:r>
          </w:p>
        </w:tc>
      </w:tr>
      <w:tr w:rsidR="000665C7" w:rsidRPr="00050358" w14:paraId="1356A658"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07AE9204" w14:textId="1E84C8E6" w:rsidR="000665C7" w:rsidRDefault="000665C7" w:rsidP="00050358">
            <w:r>
              <w:t>1.6</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4F245402" w14:textId="115B0748" w:rsidR="000665C7" w:rsidRDefault="000665C7" w:rsidP="00050358">
            <w:r>
              <w:t>30 October 2025</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3FB79F2D" w14:textId="0E793B14" w:rsidR="000665C7" w:rsidRDefault="000665C7" w:rsidP="00050358">
            <w:r>
              <w:t>Pharmacy Premises Committee</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02626202" w14:textId="57F5C9C3" w:rsidR="000665C7" w:rsidRDefault="000665C7" w:rsidP="00050358">
            <w:r>
              <w:t>Nil – extension granted for 1 year to allow SME review</w:t>
            </w:r>
          </w:p>
        </w:tc>
      </w:tr>
    </w:tbl>
    <w:p w14:paraId="5536E190"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E2452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57825E8"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5D5311E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0CD840A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1839D2B" w14:textId="77777777" w:rsidR="003223FE" w:rsidRPr="00050358" w:rsidRDefault="003223FE" w:rsidP="00DC0575">
            <w:r w:rsidRPr="00050358">
              <w:t>NT</w:t>
            </w:r>
          </w:p>
        </w:tc>
        <w:tc>
          <w:tcPr>
            <w:cnfStyle w:val="000100000000" w:firstRow="0" w:lastRow="0" w:firstColumn="0" w:lastColumn="1" w:oddVBand="0" w:evenVBand="0" w:oddHBand="0" w:evenHBand="0" w:firstRowFirstColumn="0" w:firstRowLastColumn="0" w:lastRowFirstColumn="0" w:lastRowLastColumn="0"/>
            <w:tcW w:w="8362" w:type="dxa"/>
          </w:tcPr>
          <w:p w14:paraId="713156B5" w14:textId="77777777" w:rsidR="003223FE" w:rsidRPr="00050358" w:rsidRDefault="003223FE" w:rsidP="00DC0575">
            <w:r w:rsidRPr="00050358">
              <w:t>Northern Territory</w:t>
            </w:r>
          </w:p>
        </w:tc>
      </w:tr>
      <w:tr w:rsidR="003223FE" w:rsidRPr="00E87DE1" w14:paraId="032EFA1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F35643E" w14:textId="77777777" w:rsidR="003223FE" w:rsidRPr="00050358" w:rsidRDefault="009E1289" w:rsidP="00050358">
            <w:r>
              <w:t>the Committee</w:t>
            </w:r>
          </w:p>
        </w:tc>
        <w:tc>
          <w:tcPr>
            <w:cnfStyle w:val="000100000000" w:firstRow="0" w:lastRow="0" w:firstColumn="0" w:lastColumn="1" w:oddVBand="0" w:evenVBand="0" w:oddHBand="0" w:evenHBand="0" w:firstRowFirstColumn="0" w:firstRowLastColumn="0" w:lastRowFirstColumn="0" w:lastRowLastColumn="0"/>
            <w:tcW w:w="8362" w:type="dxa"/>
          </w:tcPr>
          <w:p w14:paraId="1E5377FD" w14:textId="77777777" w:rsidR="003223FE" w:rsidRPr="00050358" w:rsidRDefault="009E1289" w:rsidP="009E1289">
            <w:r>
              <w:t>Pharmacy Premises Committee for the Northern Territory</w:t>
            </w:r>
          </w:p>
        </w:tc>
      </w:tr>
      <w:tr w:rsidR="003223FE" w:rsidRPr="00E87DE1" w14:paraId="48E2DFC8"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C3DA571" w14:textId="77777777" w:rsidR="003223FE" w:rsidRPr="00050358" w:rsidRDefault="00B16E1E" w:rsidP="00050358">
            <w:r>
              <w:t>CMI</w:t>
            </w:r>
          </w:p>
        </w:tc>
        <w:tc>
          <w:tcPr>
            <w:cnfStyle w:val="000100000000" w:firstRow="0" w:lastRow="0" w:firstColumn="0" w:lastColumn="1" w:oddVBand="0" w:evenVBand="0" w:oddHBand="0" w:evenHBand="0" w:firstRowFirstColumn="0" w:firstRowLastColumn="0" w:lastRowFirstColumn="0" w:lastRowLastColumn="0"/>
            <w:tcW w:w="8362" w:type="dxa"/>
          </w:tcPr>
          <w:p w14:paraId="2400AC68" w14:textId="77777777" w:rsidR="003223FE" w:rsidRPr="00050358" w:rsidRDefault="00B16E1E" w:rsidP="00050358">
            <w:r w:rsidRPr="009E003C">
              <w:rPr>
                <w:rFonts w:asciiTheme="minorHAnsi" w:hAnsiTheme="minorHAnsi" w:cstheme="minorHAnsi"/>
              </w:rPr>
              <w:t>Consumer Medicines Information</w:t>
            </w:r>
          </w:p>
        </w:tc>
      </w:tr>
      <w:tr w:rsidR="00FB4E3A" w:rsidRPr="00E87DE1" w14:paraId="29A38DA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AFD8DE" w14:textId="77777777" w:rsidR="00FB4E3A" w:rsidRPr="00050358" w:rsidRDefault="00B16E1E" w:rsidP="00050358">
            <w:r>
              <w:t>PN</w:t>
            </w:r>
          </w:p>
        </w:tc>
        <w:tc>
          <w:tcPr>
            <w:cnfStyle w:val="000100000000" w:firstRow="0" w:lastRow="0" w:firstColumn="0" w:lastColumn="1" w:oddVBand="0" w:evenVBand="0" w:oddHBand="0" w:evenHBand="0" w:firstRowFirstColumn="0" w:firstRowLastColumn="0" w:lastRowFirstColumn="0" w:lastRowLastColumn="0"/>
            <w:tcW w:w="8362" w:type="dxa"/>
          </w:tcPr>
          <w:p w14:paraId="6F1F94FD" w14:textId="77777777" w:rsidR="00FB4E3A" w:rsidRPr="00050358" w:rsidRDefault="00B16E1E" w:rsidP="00050358">
            <w:r w:rsidRPr="00B952BF">
              <w:rPr>
                <w:rFonts w:asciiTheme="minorHAnsi" w:hAnsiTheme="minorHAnsi" w:cstheme="minorHAnsi"/>
              </w:rPr>
              <w:t>Parenteral Nutrition</w:t>
            </w:r>
          </w:p>
        </w:tc>
      </w:tr>
      <w:tr w:rsidR="00B16E1E" w:rsidRPr="00E87DE1" w14:paraId="2CC6762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27EB85C" w14:textId="77777777" w:rsidR="00B16E1E" w:rsidRDefault="00B16E1E" w:rsidP="00050358">
            <w:proofErr w:type="spellStart"/>
            <w:r>
              <w:t>cRABS</w:t>
            </w:r>
            <w:proofErr w:type="spellEnd"/>
          </w:p>
        </w:tc>
        <w:tc>
          <w:tcPr>
            <w:cnfStyle w:val="000100000000" w:firstRow="0" w:lastRow="0" w:firstColumn="0" w:lastColumn="1" w:oddVBand="0" w:evenVBand="0" w:oddHBand="0" w:evenHBand="0" w:firstRowFirstColumn="0" w:firstRowLastColumn="0" w:lastRowFirstColumn="0" w:lastRowLastColumn="0"/>
            <w:tcW w:w="8362" w:type="dxa"/>
          </w:tcPr>
          <w:p w14:paraId="52734FBA" w14:textId="77777777" w:rsidR="00B16E1E" w:rsidRPr="00B952BF" w:rsidRDefault="00B16E1E" w:rsidP="00B16E1E">
            <w:pPr>
              <w:rPr>
                <w:rFonts w:asciiTheme="minorHAnsi" w:hAnsiTheme="minorHAnsi" w:cstheme="minorHAnsi"/>
              </w:rPr>
            </w:pPr>
            <w:r w:rsidRPr="002C3185">
              <w:rPr>
                <w:rFonts w:asciiTheme="minorHAnsi" w:hAnsiTheme="minorHAnsi" w:cstheme="minorHAnsi"/>
              </w:rPr>
              <w:t xml:space="preserve">closed </w:t>
            </w:r>
            <w:r>
              <w:rPr>
                <w:rFonts w:asciiTheme="minorHAnsi" w:hAnsiTheme="minorHAnsi" w:cstheme="minorHAnsi"/>
              </w:rPr>
              <w:t>R</w:t>
            </w:r>
            <w:r w:rsidRPr="002C3185">
              <w:rPr>
                <w:rFonts w:asciiTheme="minorHAnsi" w:hAnsiTheme="minorHAnsi" w:cstheme="minorHAnsi"/>
              </w:rPr>
              <w:t xml:space="preserve">estricted </w:t>
            </w:r>
            <w:r>
              <w:rPr>
                <w:rFonts w:asciiTheme="minorHAnsi" w:hAnsiTheme="minorHAnsi" w:cstheme="minorHAnsi"/>
              </w:rPr>
              <w:t>A</w:t>
            </w:r>
            <w:r w:rsidRPr="002C3185">
              <w:rPr>
                <w:rFonts w:asciiTheme="minorHAnsi" w:hAnsiTheme="minorHAnsi" w:cstheme="minorHAnsi"/>
              </w:rPr>
              <w:t xml:space="preserve">ccess </w:t>
            </w:r>
            <w:r>
              <w:rPr>
                <w:rFonts w:asciiTheme="minorHAnsi" w:hAnsiTheme="minorHAnsi" w:cstheme="minorHAnsi"/>
              </w:rPr>
              <w:t>B</w:t>
            </w:r>
            <w:r w:rsidRPr="002C3185">
              <w:rPr>
                <w:rFonts w:asciiTheme="minorHAnsi" w:hAnsiTheme="minorHAnsi" w:cstheme="minorHAnsi"/>
              </w:rPr>
              <w:t xml:space="preserve">arrier </w:t>
            </w:r>
            <w:r>
              <w:rPr>
                <w:rFonts w:asciiTheme="minorHAnsi" w:hAnsiTheme="minorHAnsi" w:cstheme="minorHAnsi"/>
              </w:rPr>
              <w:t>S</w:t>
            </w:r>
            <w:r w:rsidRPr="002C3185">
              <w:rPr>
                <w:rFonts w:asciiTheme="minorHAnsi" w:hAnsiTheme="minorHAnsi" w:cstheme="minorHAnsi"/>
              </w:rPr>
              <w:t>ystems</w:t>
            </w:r>
          </w:p>
        </w:tc>
      </w:tr>
      <w:tr w:rsidR="00B16E1E" w:rsidRPr="00E87DE1" w14:paraId="6C7C187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4AF9002" w14:textId="77777777" w:rsidR="00B16E1E" w:rsidRDefault="00B16E1E" w:rsidP="00050358">
            <w:r>
              <w:t>OPP</w:t>
            </w:r>
          </w:p>
        </w:tc>
        <w:tc>
          <w:tcPr>
            <w:cnfStyle w:val="000100000000" w:firstRow="0" w:lastRow="0" w:firstColumn="0" w:lastColumn="1" w:oddVBand="0" w:evenVBand="0" w:oddHBand="0" w:evenHBand="0" w:firstRowFirstColumn="0" w:firstRowLastColumn="0" w:lastRowFirstColumn="0" w:lastRowLastColumn="0"/>
            <w:tcW w:w="8362" w:type="dxa"/>
          </w:tcPr>
          <w:p w14:paraId="6E346E65" w14:textId="77777777" w:rsidR="00B16E1E" w:rsidRPr="00B952BF" w:rsidRDefault="00B16E1E" w:rsidP="00050358">
            <w:pPr>
              <w:rPr>
                <w:rFonts w:asciiTheme="minorHAnsi" w:hAnsiTheme="minorHAnsi" w:cstheme="minorHAnsi"/>
              </w:rPr>
            </w:pPr>
            <w:r>
              <w:rPr>
                <w:rFonts w:asciiTheme="minorHAnsi" w:hAnsiTheme="minorHAnsi" w:cstheme="minorHAnsi"/>
              </w:rPr>
              <w:t>Opioid Pharmacotherapy Program</w:t>
            </w:r>
          </w:p>
        </w:tc>
      </w:tr>
      <w:tr w:rsidR="00B16E1E" w:rsidRPr="00E87DE1" w14:paraId="034B08B2"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C29BB6" w14:textId="77777777" w:rsidR="00B16E1E" w:rsidRDefault="00B16E1E" w:rsidP="00050358">
            <w:r>
              <w:t>PBS</w:t>
            </w:r>
          </w:p>
        </w:tc>
        <w:tc>
          <w:tcPr>
            <w:cnfStyle w:val="000100000000" w:firstRow="0" w:lastRow="0" w:firstColumn="0" w:lastColumn="1" w:oddVBand="0" w:evenVBand="0" w:oddHBand="0" w:evenHBand="0" w:firstRowFirstColumn="0" w:firstRowLastColumn="0" w:lastRowFirstColumn="0" w:lastRowLastColumn="0"/>
            <w:tcW w:w="8362" w:type="dxa"/>
          </w:tcPr>
          <w:p w14:paraId="17DC8E47" w14:textId="77777777" w:rsidR="00B16E1E" w:rsidRDefault="00B16E1E" w:rsidP="00050358">
            <w:pPr>
              <w:rPr>
                <w:rFonts w:asciiTheme="minorHAnsi" w:hAnsiTheme="minorHAnsi" w:cstheme="minorHAnsi"/>
              </w:rPr>
            </w:pPr>
            <w:r w:rsidRPr="00D34D0C">
              <w:rPr>
                <w:rFonts w:asciiTheme="minorHAnsi" w:hAnsiTheme="minorHAnsi" w:cstheme="minorHAnsi"/>
              </w:rPr>
              <w:t>Pharmaceutical Benefits Scheme</w:t>
            </w:r>
          </w:p>
        </w:tc>
      </w:tr>
      <w:tr w:rsidR="00B16E1E" w:rsidRPr="00E87DE1" w14:paraId="72FB8729"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0995267" w14:textId="77777777" w:rsidR="00B16E1E" w:rsidRDefault="00B16E1E" w:rsidP="00050358">
            <w:r>
              <w:t>DUE</w:t>
            </w:r>
          </w:p>
        </w:tc>
        <w:tc>
          <w:tcPr>
            <w:cnfStyle w:val="000100000000" w:firstRow="0" w:lastRow="0" w:firstColumn="0" w:lastColumn="1" w:oddVBand="0" w:evenVBand="0" w:oddHBand="0" w:evenHBand="0" w:firstRowFirstColumn="0" w:firstRowLastColumn="0" w:lastRowFirstColumn="0" w:lastRowLastColumn="0"/>
            <w:tcW w:w="8362" w:type="dxa"/>
          </w:tcPr>
          <w:p w14:paraId="44FB2D09" w14:textId="77777777" w:rsidR="00B16E1E" w:rsidRDefault="00B16E1E" w:rsidP="00B16E1E">
            <w:pPr>
              <w:rPr>
                <w:rFonts w:asciiTheme="minorHAnsi" w:hAnsiTheme="minorHAnsi" w:cstheme="minorHAnsi"/>
              </w:rPr>
            </w:pPr>
            <w:r>
              <w:rPr>
                <w:rFonts w:asciiTheme="minorHAnsi" w:hAnsiTheme="minorHAnsi" w:cstheme="minorHAnsi"/>
              </w:rPr>
              <w:t>D</w:t>
            </w:r>
            <w:r w:rsidRPr="00D34D0C">
              <w:rPr>
                <w:rFonts w:asciiTheme="minorHAnsi" w:hAnsiTheme="minorHAnsi" w:cstheme="minorHAnsi"/>
              </w:rPr>
              <w:t xml:space="preserve">rug </w:t>
            </w:r>
            <w:r>
              <w:rPr>
                <w:rFonts w:asciiTheme="minorHAnsi" w:hAnsiTheme="minorHAnsi" w:cstheme="minorHAnsi"/>
              </w:rPr>
              <w:t>U</w:t>
            </w:r>
            <w:r w:rsidRPr="00D34D0C">
              <w:rPr>
                <w:rFonts w:asciiTheme="minorHAnsi" w:hAnsiTheme="minorHAnsi" w:cstheme="minorHAnsi"/>
              </w:rPr>
              <w:t xml:space="preserve">tilisation </w:t>
            </w:r>
            <w:r>
              <w:rPr>
                <w:rFonts w:asciiTheme="minorHAnsi" w:hAnsiTheme="minorHAnsi" w:cstheme="minorHAnsi"/>
              </w:rPr>
              <w:t>E</w:t>
            </w:r>
            <w:r w:rsidRPr="00D34D0C">
              <w:rPr>
                <w:rFonts w:asciiTheme="minorHAnsi" w:hAnsiTheme="minorHAnsi" w:cstheme="minorHAnsi"/>
              </w:rPr>
              <w:t>valuation</w:t>
            </w:r>
          </w:p>
        </w:tc>
      </w:tr>
      <w:tr w:rsidR="00B16E1E" w:rsidRPr="00E87DE1" w14:paraId="0BF42AC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67D2861" w14:textId="77777777" w:rsidR="00B16E1E" w:rsidRDefault="00B16E1E" w:rsidP="00050358">
            <w:r>
              <w:t>ICU</w:t>
            </w:r>
          </w:p>
        </w:tc>
        <w:tc>
          <w:tcPr>
            <w:cnfStyle w:val="000100000000" w:firstRow="0" w:lastRow="0" w:firstColumn="0" w:lastColumn="1" w:oddVBand="0" w:evenVBand="0" w:oddHBand="0" w:evenHBand="0" w:firstRowFirstColumn="0" w:firstRowLastColumn="0" w:lastRowFirstColumn="0" w:lastRowLastColumn="0"/>
            <w:tcW w:w="8362" w:type="dxa"/>
          </w:tcPr>
          <w:p w14:paraId="7A82EE12" w14:textId="77777777" w:rsidR="00B16E1E" w:rsidRDefault="00B16E1E" w:rsidP="00B16E1E">
            <w:pPr>
              <w:rPr>
                <w:rFonts w:asciiTheme="minorHAnsi" w:hAnsiTheme="minorHAnsi" w:cstheme="minorHAnsi"/>
              </w:rPr>
            </w:pPr>
            <w:r>
              <w:rPr>
                <w:rFonts w:asciiTheme="minorHAnsi" w:hAnsiTheme="minorHAnsi" w:cstheme="minorHAnsi"/>
              </w:rPr>
              <w:t>Intensive Care Unit</w:t>
            </w:r>
          </w:p>
        </w:tc>
      </w:tr>
      <w:tr w:rsidR="00BE73FD" w:rsidRPr="00E87DE1" w14:paraId="03F9C09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1196F5B" w14:textId="77777777" w:rsidR="00BE73FD" w:rsidRPr="007648AB" w:rsidRDefault="00BE73FD" w:rsidP="00050358">
            <w:r w:rsidRPr="007648AB">
              <w:t>NSQHS</w:t>
            </w:r>
          </w:p>
        </w:tc>
        <w:tc>
          <w:tcPr>
            <w:cnfStyle w:val="000100000000" w:firstRow="0" w:lastRow="0" w:firstColumn="0" w:lastColumn="1" w:oddVBand="0" w:evenVBand="0" w:oddHBand="0" w:evenHBand="0" w:firstRowFirstColumn="0" w:firstRowLastColumn="0" w:lastRowFirstColumn="0" w:lastRowLastColumn="0"/>
            <w:tcW w:w="8362" w:type="dxa"/>
          </w:tcPr>
          <w:p w14:paraId="37D1BAD8" w14:textId="77777777" w:rsidR="00BE73FD" w:rsidRPr="007648AB" w:rsidRDefault="00B11CF4" w:rsidP="00B16E1E">
            <w:pPr>
              <w:rPr>
                <w:rFonts w:asciiTheme="minorHAnsi" w:hAnsiTheme="minorHAnsi" w:cstheme="minorHAnsi"/>
                <w:highlight w:val="lightGray"/>
              </w:rPr>
            </w:pPr>
            <w:r w:rsidRPr="007648AB">
              <w:rPr>
                <w:rFonts w:asciiTheme="minorHAnsi" w:hAnsiTheme="minorHAnsi" w:cs="Segoe UI"/>
                <w:sz w:val="24"/>
                <w:szCs w:val="24"/>
                <w:highlight w:val="lightGray"/>
                <w:shd w:val="clear" w:color="auto" w:fill="FFFFFF"/>
              </w:rPr>
              <w:t>National Safety and Quality Service</w:t>
            </w:r>
          </w:p>
        </w:tc>
      </w:tr>
    </w:tbl>
    <w:p w14:paraId="1F5D5B30" w14:textId="77777777" w:rsidR="00702D61" w:rsidRDefault="00702D61" w:rsidP="00702D61">
      <w:r>
        <w:br w:type="page"/>
      </w:r>
    </w:p>
    <w:sdt>
      <w:sdtPr>
        <w:rPr>
          <w:rFonts w:ascii="Lato" w:eastAsia="Calibri" w:hAnsi="Lato" w:cs="Times New Roman"/>
          <w:b/>
          <w:bCs w:val="0"/>
          <w:color w:val="auto"/>
          <w:sz w:val="21"/>
          <w:szCs w:val="21"/>
        </w:rPr>
        <w:id w:val="-88318220"/>
        <w:docPartObj>
          <w:docPartGallery w:val="Table of Contents"/>
          <w:docPartUnique/>
        </w:docPartObj>
      </w:sdtPr>
      <w:sdtEndPr>
        <w:rPr>
          <w:noProof/>
          <w:sz w:val="20"/>
          <w:szCs w:val="20"/>
        </w:rPr>
      </w:sdtEndPr>
      <w:sdtContent>
        <w:p w14:paraId="5B7FF21D" w14:textId="77777777" w:rsidR="00964B22" w:rsidRPr="00630E95" w:rsidRDefault="00964B22" w:rsidP="00DF2C46">
          <w:pPr>
            <w:pStyle w:val="TOCHeading"/>
            <w:tabs>
              <w:tab w:val="left" w:pos="8601"/>
            </w:tabs>
            <w:spacing w:before="0"/>
            <w:rPr>
              <w:sz w:val="21"/>
              <w:szCs w:val="21"/>
              <w:lang w:eastAsia="ja-JP"/>
            </w:rPr>
          </w:pPr>
          <w:r w:rsidRPr="00630E95">
            <w:rPr>
              <w:sz w:val="21"/>
              <w:szCs w:val="21"/>
            </w:rPr>
            <w:t>Contents</w:t>
          </w:r>
        </w:p>
        <w:p w14:paraId="56782CC8" w14:textId="77777777" w:rsidR="001473D6" w:rsidRPr="001473D6" w:rsidRDefault="006747E0">
          <w:pPr>
            <w:pStyle w:val="TOC1"/>
            <w:rPr>
              <w:rFonts w:asciiTheme="minorHAnsi" w:eastAsiaTheme="minorEastAsia" w:hAnsiTheme="minorHAnsi" w:cstheme="minorBidi"/>
              <w:b w:val="0"/>
              <w:noProof/>
              <w:sz w:val="20"/>
              <w:szCs w:val="20"/>
              <w:lang w:eastAsia="en-AU"/>
            </w:rPr>
          </w:pPr>
          <w:r w:rsidRPr="001473D6">
            <w:rPr>
              <w:rFonts w:eastAsiaTheme="minorEastAsia" w:cs="Arial"/>
              <w:sz w:val="20"/>
              <w:szCs w:val="20"/>
              <w:lang w:eastAsia="en-AU"/>
            </w:rPr>
            <w:fldChar w:fldCharType="begin"/>
          </w:r>
          <w:r w:rsidRPr="001473D6">
            <w:rPr>
              <w:rFonts w:eastAsiaTheme="minorEastAsia" w:cs="Arial"/>
              <w:sz w:val="20"/>
              <w:szCs w:val="20"/>
              <w:lang w:eastAsia="en-AU"/>
            </w:rPr>
            <w:instrText xml:space="preserve"> TOC \o "1-4" \h \z \u </w:instrText>
          </w:r>
          <w:r w:rsidRPr="001473D6">
            <w:rPr>
              <w:rFonts w:eastAsiaTheme="minorEastAsia" w:cs="Arial"/>
              <w:sz w:val="20"/>
              <w:szCs w:val="20"/>
              <w:lang w:eastAsia="en-AU"/>
            </w:rPr>
            <w:fldChar w:fldCharType="separate"/>
          </w:r>
          <w:hyperlink w:anchor="_Toc89071546" w:history="1">
            <w:r w:rsidR="001473D6" w:rsidRPr="001473D6">
              <w:rPr>
                <w:rStyle w:val="Hyperlink"/>
                <w:noProof/>
                <w:sz w:val="20"/>
                <w:szCs w:val="20"/>
                <w:lang w:eastAsia="en-AU"/>
              </w:rPr>
              <w:t>1. General Information</w:t>
            </w:r>
            <w:r w:rsidR="001473D6" w:rsidRPr="001473D6">
              <w:rPr>
                <w:noProof/>
                <w:webHidden/>
                <w:sz w:val="20"/>
                <w:szCs w:val="20"/>
              </w:rPr>
              <w:tab/>
            </w:r>
            <w:r w:rsidR="001473D6" w:rsidRPr="001473D6">
              <w:rPr>
                <w:noProof/>
                <w:webHidden/>
                <w:sz w:val="20"/>
                <w:szCs w:val="20"/>
              </w:rPr>
              <w:fldChar w:fldCharType="begin"/>
            </w:r>
            <w:r w:rsidR="001473D6" w:rsidRPr="001473D6">
              <w:rPr>
                <w:noProof/>
                <w:webHidden/>
                <w:sz w:val="20"/>
                <w:szCs w:val="20"/>
              </w:rPr>
              <w:instrText xml:space="preserve"> PAGEREF _Toc89071546 \h </w:instrText>
            </w:r>
            <w:r w:rsidR="001473D6" w:rsidRPr="001473D6">
              <w:rPr>
                <w:noProof/>
                <w:webHidden/>
                <w:sz w:val="20"/>
                <w:szCs w:val="20"/>
              </w:rPr>
            </w:r>
            <w:r w:rsidR="001473D6" w:rsidRPr="001473D6">
              <w:rPr>
                <w:noProof/>
                <w:webHidden/>
                <w:sz w:val="20"/>
                <w:szCs w:val="20"/>
              </w:rPr>
              <w:fldChar w:fldCharType="separate"/>
            </w:r>
            <w:r w:rsidR="00132D41">
              <w:rPr>
                <w:noProof/>
                <w:webHidden/>
                <w:sz w:val="20"/>
                <w:szCs w:val="20"/>
              </w:rPr>
              <w:t>4</w:t>
            </w:r>
            <w:r w:rsidR="001473D6" w:rsidRPr="001473D6">
              <w:rPr>
                <w:noProof/>
                <w:webHidden/>
                <w:sz w:val="20"/>
                <w:szCs w:val="20"/>
              </w:rPr>
              <w:fldChar w:fldCharType="end"/>
            </w:r>
          </w:hyperlink>
        </w:p>
        <w:p w14:paraId="5B5AE439"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47" w:history="1">
            <w:r w:rsidRPr="001473D6">
              <w:rPr>
                <w:rStyle w:val="Hyperlink"/>
                <w:noProof/>
                <w:sz w:val="20"/>
                <w:szCs w:val="20"/>
              </w:rPr>
              <w:t>1.1. Definition of a pharmacy department</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_Toc89071547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48F24A4E"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48" w:history="1">
            <w:r w:rsidRPr="001473D6">
              <w:rPr>
                <w:rStyle w:val="Hyperlink"/>
                <w:noProof/>
                <w:sz w:val="20"/>
                <w:szCs w:val="20"/>
              </w:rPr>
              <w:t>1.2. Compliance of this standard</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_Toc89071548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121965E2"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49" w:history="1">
            <w:r w:rsidRPr="001473D6">
              <w:rPr>
                <w:rStyle w:val="Hyperlink"/>
                <w:noProof/>
                <w:sz w:val="20"/>
                <w:szCs w:val="20"/>
                <w:lang w:eastAsia="en-AU"/>
              </w:rPr>
              <w:t>2. Overview</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_Toc89071549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736656E1"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0" w:history="1">
            <w:r w:rsidRPr="001473D6">
              <w:rPr>
                <w:rStyle w:val="Hyperlink"/>
                <w:noProof/>
                <w:sz w:val="20"/>
                <w:szCs w:val="20"/>
              </w:rPr>
              <w:t>3. Service Level</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_Toc89071550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381FF664"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1" w:history="1">
            <w:r w:rsidRPr="001473D6">
              <w:rPr>
                <w:rStyle w:val="Hyperlink"/>
                <w:noProof/>
                <w:sz w:val="20"/>
                <w:szCs w:val="20"/>
              </w:rPr>
              <w:t>4. Pharmacy Department Signage</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_Toc89071551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3D3C2F86"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2" w:history="1">
            <w:r w:rsidRPr="001473D6">
              <w:rPr>
                <w:rStyle w:val="Hyperlink"/>
                <w:noProof/>
                <w:sz w:val="20"/>
                <w:szCs w:val="20"/>
              </w:rPr>
              <w:t>5. Security</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_Toc89071552 \h </w:instrText>
            </w:r>
            <w:r w:rsidRPr="001473D6">
              <w:rPr>
                <w:noProof/>
                <w:webHidden/>
                <w:sz w:val="20"/>
                <w:szCs w:val="20"/>
              </w:rPr>
            </w:r>
            <w:r w:rsidRPr="001473D6">
              <w:rPr>
                <w:noProof/>
                <w:webHidden/>
                <w:sz w:val="20"/>
                <w:szCs w:val="20"/>
              </w:rPr>
              <w:fldChar w:fldCharType="separate"/>
            </w:r>
            <w:r w:rsidR="00132D41">
              <w:rPr>
                <w:noProof/>
                <w:webHidden/>
                <w:sz w:val="20"/>
                <w:szCs w:val="20"/>
              </w:rPr>
              <w:t>4</w:t>
            </w:r>
            <w:r w:rsidRPr="001473D6">
              <w:rPr>
                <w:noProof/>
                <w:webHidden/>
                <w:sz w:val="20"/>
                <w:szCs w:val="20"/>
              </w:rPr>
              <w:fldChar w:fldCharType="end"/>
            </w:r>
          </w:hyperlink>
        </w:p>
        <w:p w14:paraId="48F7EF50"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53" w:history="1">
            <w:r w:rsidRPr="001473D6">
              <w:rPr>
                <w:rStyle w:val="Hyperlink"/>
                <w:noProof/>
                <w:sz w:val="20"/>
                <w:szCs w:val="20"/>
              </w:rPr>
              <w:t>5.1. Physical Security</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_Toc89071553 \h </w:instrText>
            </w:r>
            <w:r w:rsidRPr="001473D6">
              <w:rPr>
                <w:noProof/>
                <w:webHidden/>
                <w:sz w:val="20"/>
                <w:szCs w:val="20"/>
              </w:rPr>
            </w:r>
            <w:r w:rsidRPr="001473D6">
              <w:rPr>
                <w:noProof/>
                <w:webHidden/>
                <w:sz w:val="20"/>
                <w:szCs w:val="20"/>
              </w:rPr>
              <w:fldChar w:fldCharType="separate"/>
            </w:r>
            <w:r w:rsidR="00132D41">
              <w:rPr>
                <w:noProof/>
                <w:webHidden/>
                <w:sz w:val="20"/>
                <w:szCs w:val="20"/>
              </w:rPr>
              <w:t>5</w:t>
            </w:r>
            <w:r w:rsidRPr="001473D6">
              <w:rPr>
                <w:noProof/>
                <w:webHidden/>
                <w:sz w:val="20"/>
                <w:szCs w:val="20"/>
              </w:rPr>
              <w:fldChar w:fldCharType="end"/>
            </w:r>
          </w:hyperlink>
        </w:p>
        <w:p w14:paraId="6AA49C6A"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54" w:history="1">
            <w:r w:rsidRPr="001473D6">
              <w:rPr>
                <w:rStyle w:val="Hyperlink"/>
                <w:noProof/>
                <w:sz w:val="20"/>
                <w:szCs w:val="20"/>
              </w:rPr>
              <w:t>5.2. Alarm Systems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_Toc89071554 \h </w:instrText>
            </w:r>
            <w:r w:rsidRPr="001473D6">
              <w:rPr>
                <w:noProof/>
                <w:webHidden/>
                <w:sz w:val="20"/>
                <w:szCs w:val="20"/>
              </w:rPr>
            </w:r>
            <w:r w:rsidRPr="001473D6">
              <w:rPr>
                <w:noProof/>
                <w:webHidden/>
                <w:sz w:val="20"/>
                <w:szCs w:val="20"/>
              </w:rPr>
              <w:fldChar w:fldCharType="separate"/>
            </w:r>
            <w:r w:rsidR="00132D41">
              <w:rPr>
                <w:noProof/>
                <w:webHidden/>
                <w:sz w:val="20"/>
                <w:szCs w:val="20"/>
              </w:rPr>
              <w:t>5</w:t>
            </w:r>
            <w:r w:rsidRPr="001473D6">
              <w:rPr>
                <w:noProof/>
                <w:webHidden/>
                <w:sz w:val="20"/>
                <w:szCs w:val="20"/>
              </w:rPr>
              <w:fldChar w:fldCharType="end"/>
            </w:r>
          </w:hyperlink>
        </w:p>
        <w:p w14:paraId="48116BDE"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5" w:history="1">
            <w:r w:rsidRPr="001473D6">
              <w:rPr>
                <w:rStyle w:val="Hyperlink"/>
                <w:noProof/>
                <w:sz w:val="20"/>
                <w:szCs w:val="20"/>
              </w:rPr>
              <w:t>6. Pharmacy Access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_Toc89071555 \h </w:instrText>
            </w:r>
            <w:r w:rsidRPr="001473D6">
              <w:rPr>
                <w:noProof/>
                <w:webHidden/>
                <w:sz w:val="20"/>
                <w:szCs w:val="20"/>
              </w:rPr>
            </w:r>
            <w:r w:rsidRPr="001473D6">
              <w:rPr>
                <w:noProof/>
                <w:webHidden/>
                <w:sz w:val="20"/>
                <w:szCs w:val="20"/>
              </w:rPr>
              <w:fldChar w:fldCharType="separate"/>
            </w:r>
            <w:r w:rsidR="00132D41">
              <w:rPr>
                <w:noProof/>
                <w:webHidden/>
                <w:sz w:val="20"/>
                <w:szCs w:val="20"/>
              </w:rPr>
              <w:t>5</w:t>
            </w:r>
            <w:r w:rsidRPr="001473D6">
              <w:rPr>
                <w:noProof/>
                <w:webHidden/>
                <w:sz w:val="20"/>
                <w:szCs w:val="20"/>
              </w:rPr>
              <w:fldChar w:fldCharType="end"/>
            </w:r>
          </w:hyperlink>
        </w:p>
        <w:p w14:paraId="5F6409ED"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6" w:history="1">
            <w:r w:rsidRPr="001473D6">
              <w:rPr>
                <w:rStyle w:val="Hyperlink"/>
                <w:noProof/>
                <w:sz w:val="20"/>
                <w:szCs w:val="20"/>
                <w:lang w:eastAsia="en-AU"/>
              </w:rPr>
              <w:t>7. Lighting</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_Toc89071556 \h </w:instrText>
            </w:r>
            <w:r w:rsidRPr="001473D6">
              <w:rPr>
                <w:noProof/>
                <w:webHidden/>
                <w:sz w:val="20"/>
                <w:szCs w:val="20"/>
              </w:rPr>
            </w:r>
            <w:r w:rsidRPr="001473D6">
              <w:rPr>
                <w:noProof/>
                <w:webHidden/>
                <w:sz w:val="20"/>
                <w:szCs w:val="20"/>
              </w:rPr>
              <w:fldChar w:fldCharType="separate"/>
            </w:r>
            <w:r w:rsidR="00132D41">
              <w:rPr>
                <w:noProof/>
                <w:webHidden/>
                <w:sz w:val="20"/>
                <w:szCs w:val="20"/>
              </w:rPr>
              <w:t>5</w:t>
            </w:r>
            <w:r w:rsidRPr="001473D6">
              <w:rPr>
                <w:noProof/>
                <w:webHidden/>
                <w:sz w:val="20"/>
                <w:szCs w:val="20"/>
              </w:rPr>
              <w:fldChar w:fldCharType="end"/>
            </w:r>
          </w:hyperlink>
        </w:p>
        <w:p w14:paraId="1BDDA09E"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7" w:history="1">
            <w:r w:rsidRPr="001473D6">
              <w:rPr>
                <w:rStyle w:val="Hyperlink"/>
                <w:noProof/>
                <w:sz w:val="20"/>
                <w:szCs w:val="20"/>
                <w:lang w:eastAsia="en-AU"/>
              </w:rPr>
              <w:t>8. Temperature Control</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_Toc89071557 \h </w:instrText>
            </w:r>
            <w:r w:rsidRPr="001473D6">
              <w:rPr>
                <w:noProof/>
                <w:webHidden/>
                <w:sz w:val="20"/>
                <w:szCs w:val="20"/>
              </w:rPr>
            </w:r>
            <w:r w:rsidRPr="001473D6">
              <w:rPr>
                <w:noProof/>
                <w:webHidden/>
                <w:sz w:val="20"/>
                <w:szCs w:val="20"/>
              </w:rPr>
              <w:fldChar w:fldCharType="separate"/>
            </w:r>
            <w:r w:rsidR="00132D41">
              <w:rPr>
                <w:noProof/>
                <w:webHidden/>
                <w:sz w:val="20"/>
                <w:szCs w:val="20"/>
              </w:rPr>
              <w:t>6</w:t>
            </w:r>
            <w:r w:rsidRPr="001473D6">
              <w:rPr>
                <w:noProof/>
                <w:webHidden/>
                <w:sz w:val="20"/>
                <w:szCs w:val="20"/>
              </w:rPr>
              <w:fldChar w:fldCharType="end"/>
            </w:r>
          </w:hyperlink>
        </w:p>
        <w:p w14:paraId="206786DF"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58" w:history="1">
            <w:r w:rsidRPr="001473D6">
              <w:rPr>
                <w:rStyle w:val="Hyperlink"/>
                <w:noProof/>
                <w:sz w:val="20"/>
                <w:szCs w:val="20"/>
              </w:rPr>
              <w:t>9. Pharmacy Department</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_Toc89071558 \h </w:instrText>
            </w:r>
            <w:r w:rsidRPr="001473D6">
              <w:rPr>
                <w:noProof/>
                <w:webHidden/>
                <w:sz w:val="20"/>
                <w:szCs w:val="20"/>
              </w:rPr>
            </w:r>
            <w:r w:rsidRPr="001473D6">
              <w:rPr>
                <w:noProof/>
                <w:webHidden/>
                <w:sz w:val="20"/>
                <w:szCs w:val="20"/>
              </w:rPr>
              <w:fldChar w:fldCharType="separate"/>
            </w:r>
            <w:r w:rsidR="00132D41">
              <w:rPr>
                <w:noProof/>
                <w:webHidden/>
                <w:sz w:val="20"/>
                <w:szCs w:val="20"/>
              </w:rPr>
              <w:t>6</w:t>
            </w:r>
            <w:r w:rsidRPr="001473D6">
              <w:rPr>
                <w:noProof/>
                <w:webHidden/>
                <w:sz w:val="20"/>
                <w:szCs w:val="20"/>
              </w:rPr>
              <w:fldChar w:fldCharType="end"/>
            </w:r>
          </w:hyperlink>
        </w:p>
        <w:p w14:paraId="3EADD8B4"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59" w:history="1">
            <w:r w:rsidRPr="001473D6">
              <w:rPr>
                <w:rStyle w:val="Hyperlink"/>
                <w:noProof/>
                <w:sz w:val="20"/>
                <w:szCs w:val="20"/>
              </w:rPr>
              <w:t>9.1. Dispensary</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_Toc89071559 \h </w:instrText>
            </w:r>
            <w:r w:rsidRPr="001473D6">
              <w:rPr>
                <w:noProof/>
                <w:webHidden/>
                <w:sz w:val="20"/>
                <w:szCs w:val="20"/>
              </w:rPr>
            </w:r>
            <w:r w:rsidRPr="001473D6">
              <w:rPr>
                <w:noProof/>
                <w:webHidden/>
                <w:sz w:val="20"/>
                <w:szCs w:val="20"/>
              </w:rPr>
              <w:fldChar w:fldCharType="separate"/>
            </w:r>
            <w:r w:rsidR="00132D41">
              <w:rPr>
                <w:noProof/>
                <w:webHidden/>
                <w:sz w:val="20"/>
                <w:szCs w:val="20"/>
              </w:rPr>
              <w:t>6</w:t>
            </w:r>
            <w:r w:rsidRPr="001473D6">
              <w:rPr>
                <w:noProof/>
                <w:webHidden/>
                <w:sz w:val="20"/>
                <w:szCs w:val="20"/>
              </w:rPr>
              <w:fldChar w:fldCharType="end"/>
            </w:r>
          </w:hyperlink>
        </w:p>
        <w:p w14:paraId="2E5F3401"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0" w:history="1">
            <w:r w:rsidRPr="001473D6">
              <w:rPr>
                <w:rStyle w:val="Hyperlink"/>
                <w:noProof/>
                <w:sz w:val="20"/>
                <w:szCs w:val="20"/>
              </w:rPr>
              <w:t>9.1.1. Dispending Station(s)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_Toc89071560 \h </w:instrText>
            </w:r>
            <w:r w:rsidRPr="001473D6">
              <w:rPr>
                <w:noProof/>
                <w:webHidden/>
                <w:sz w:val="20"/>
                <w:szCs w:val="20"/>
              </w:rPr>
            </w:r>
            <w:r w:rsidRPr="001473D6">
              <w:rPr>
                <w:noProof/>
                <w:webHidden/>
                <w:sz w:val="20"/>
                <w:szCs w:val="20"/>
              </w:rPr>
              <w:fldChar w:fldCharType="separate"/>
            </w:r>
            <w:r w:rsidR="00132D41">
              <w:rPr>
                <w:noProof/>
                <w:webHidden/>
                <w:sz w:val="20"/>
                <w:szCs w:val="20"/>
              </w:rPr>
              <w:t>6</w:t>
            </w:r>
            <w:r w:rsidRPr="001473D6">
              <w:rPr>
                <w:noProof/>
                <w:webHidden/>
                <w:sz w:val="20"/>
                <w:szCs w:val="20"/>
              </w:rPr>
              <w:fldChar w:fldCharType="end"/>
            </w:r>
          </w:hyperlink>
        </w:p>
        <w:p w14:paraId="155AD033"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1" w:history="1">
            <w:r w:rsidRPr="001473D6">
              <w:rPr>
                <w:rStyle w:val="Hyperlink"/>
                <w:noProof/>
                <w:sz w:val="20"/>
                <w:szCs w:val="20"/>
              </w:rPr>
              <w:t>9.1.2. Dose Administration Aids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_Toc89071561 \h </w:instrText>
            </w:r>
            <w:r w:rsidRPr="001473D6">
              <w:rPr>
                <w:noProof/>
                <w:webHidden/>
                <w:sz w:val="20"/>
                <w:szCs w:val="20"/>
              </w:rPr>
            </w:r>
            <w:r w:rsidRPr="001473D6">
              <w:rPr>
                <w:noProof/>
                <w:webHidden/>
                <w:sz w:val="20"/>
                <w:szCs w:val="20"/>
              </w:rPr>
              <w:fldChar w:fldCharType="separate"/>
            </w:r>
            <w:r w:rsidR="00132D41">
              <w:rPr>
                <w:noProof/>
                <w:webHidden/>
                <w:sz w:val="20"/>
                <w:szCs w:val="20"/>
              </w:rPr>
              <w:t>7</w:t>
            </w:r>
            <w:r w:rsidRPr="001473D6">
              <w:rPr>
                <w:noProof/>
                <w:webHidden/>
                <w:sz w:val="20"/>
                <w:szCs w:val="20"/>
              </w:rPr>
              <w:fldChar w:fldCharType="end"/>
            </w:r>
          </w:hyperlink>
        </w:p>
        <w:p w14:paraId="57F1F317"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62" w:history="1">
            <w:r w:rsidRPr="001473D6">
              <w:rPr>
                <w:rStyle w:val="Hyperlink"/>
                <w:noProof/>
                <w:sz w:val="20"/>
                <w:szCs w:val="20"/>
              </w:rPr>
              <w:t>9.2. Client Waiting Area</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_Toc89071562 \h </w:instrText>
            </w:r>
            <w:r w:rsidRPr="001473D6">
              <w:rPr>
                <w:noProof/>
                <w:webHidden/>
                <w:sz w:val="20"/>
                <w:szCs w:val="20"/>
              </w:rPr>
            </w:r>
            <w:r w:rsidRPr="001473D6">
              <w:rPr>
                <w:noProof/>
                <w:webHidden/>
                <w:sz w:val="20"/>
                <w:szCs w:val="20"/>
              </w:rPr>
              <w:fldChar w:fldCharType="separate"/>
            </w:r>
            <w:r w:rsidR="00132D41">
              <w:rPr>
                <w:noProof/>
                <w:webHidden/>
                <w:sz w:val="20"/>
                <w:szCs w:val="20"/>
              </w:rPr>
              <w:t>7</w:t>
            </w:r>
            <w:r w:rsidRPr="001473D6">
              <w:rPr>
                <w:noProof/>
                <w:webHidden/>
                <w:sz w:val="20"/>
                <w:szCs w:val="20"/>
              </w:rPr>
              <w:fldChar w:fldCharType="end"/>
            </w:r>
          </w:hyperlink>
        </w:p>
        <w:p w14:paraId="7807ACE4"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63" w:history="1">
            <w:r w:rsidRPr="001473D6">
              <w:rPr>
                <w:rStyle w:val="Hyperlink"/>
                <w:noProof/>
                <w:sz w:val="20"/>
                <w:szCs w:val="20"/>
              </w:rPr>
              <w:t>9.3. Counselling Area</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_Toc89071563 \h </w:instrText>
            </w:r>
            <w:r w:rsidRPr="001473D6">
              <w:rPr>
                <w:noProof/>
                <w:webHidden/>
                <w:sz w:val="20"/>
                <w:szCs w:val="20"/>
              </w:rPr>
            </w:r>
            <w:r w:rsidRPr="001473D6">
              <w:rPr>
                <w:noProof/>
                <w:webHidden/>
                <w:sz w:val="20"/>
                <w:szCs w:val="20"/>
              </w:rPr>
              <w:fldChar w:fldCharType="separate"/>
            </w:r>
            <w:r w:rsidR="00132D41">
              <w:rPr>
                <w:noProof/>
                <w:webHidden/>
                <w:sz w:val="20"/>
                <w:szCs w:val="20"/>
              </w:rPr>
              <w:t>7</w:t>
            </w:r>
            <w:r w:rsidRPr="001473D6">
              <w:rPr>
                <w:noProof/>
                <w:webHidden/>
                <w:sz w:val="20"/>
                <w:szCs w:val="20"/>
              </w:rPr>
              <w:fldChar w:fldCharType="end"/>
            </w:r>
          </w:hyperlink>
        </w:p>
        <w:p w14:paraId="5980AA7A"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64" w:history="1">
            <w:r w:rsidRPr="001473D6">
              <w:rPr>
                <w:rStyle w:val="Hyperlink"/>
                <w:noProof/>
                <w:sz w:val="20"/>
                <w:szCs w:val="20"/>
              </w:rPr>
              <w:t>9.4. Non-sterile Medicines Production</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_Toc89071564 \h </w:instrText>
            </w:r>
            <w:r w:rsidRPr="001473D6">
              <w:rPr>
                <w:noProof/>
                <w:webHidden/>
                <w:sz w:val="20"/>
                <w:szCs w:val="20"/>
              </w:rPr>
            </w:r>
            <w:r w:rsidRPr="001473D6">
              <w:rPr>
                <w:noProof/>
                <w:webHidden/>
                <w:sz w:val="20"/>
                <w:szCs w:val="20"/>
              </w:rPr>
              <w:fldChar w:fldCharType="separate"/>
            </w:r>
            <w:r w:rsidR="00132D41">
              <w:rPr>
                <w:noProof/>
                <w:webHidden/>
                <w:sz w:val="20"/>
                <w:szCs w:val="20"/>
              </w:rPr>
              <w:t>7</w:t>
            </w:r>
            <w:r w:rsidRPr="001473D6">
              <w:rPr>
                <w:noProof/>
                <w:webHidden/>
                <w:sz w:val="20"/>
                <w:szCs w:val="20"/>
              </w:rPr>
              <w:fldChar w:fldCharType="end"/>
            </w:r>
          </w:hyperlink>
        </w:p>
        <w:p w14:paraId="3818E9B4"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5" w:history="1">
            <w:r w:rsidRPr="001473D6">
              <w:rPr>
                <w:rStyle w:val="Hyperlink"/>
                <w:noProof/>
                <w:sz w:val="20"/>
                <w:szCs w:val="20"/>
              </w:rPr>
              <w:t>9.4.1. Pre-packaging</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_Toc89071565 \h </w:instrText>
            </w:r>
            <w:r w:rsidRPr="001473D6">
              <w:rPr>
                <w:noProof/>
                <w:webHidden/>
                <w:sz w:val="20"/>
                <w:szCs w:val="20"/>
              </w:rPr>
            </w:r>
            <w:r w:rsidRPr="001473D6">
              <w:rPr>
                <w:noProof/>
                <w:webHidden/>
                <w:sz w:val="20"/>
                <w:szCs w:val="20"/>
              </w:rPr>
              <w:fldChar w:fldCharType="separate"/>
            </w:r>
            <w:r w:rsidR="00132D41">
              <w:rPr>
                <w:noProof/>
                <w:webHidden/>
                <w:sz w:val="20"/>
                <w:szCs w:val="20"/>
              </w:rPr>
              <w:t>7</w:t>
            </w:r>
            <w:r w:rsidRPr="001473D6">
              <w:rPr>
                <w:noProof/>
                <w:webHidden/>
                <w:sz w:val="20"/>
                <w:szCs w:val="20"/>
              </w:rPr>
              <w:fldChar w:fldCharType="end"/>
            </w:r>
          </w:hyperlink>
        </w:p>
        <w:p w14:paraId="2ECA80FF"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6" w:history="1">
            <w:r w:rsidRPr="001473D6">
              <w:rPr>
                <w:rStyle w:val="Hyperlink"/>
                <w:noProof/>
                <w:sz w:val="20"/>
                <w:szCs w:val="20"/>
              </w:rPr>
              <w:t>9.4.2. Extemporaneous Compounding</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_Toc89071566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29C391FA"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67" w:history="1">
            <w:r w:rsidRPr="001473D6">
              <w:rPr>
                <w:rStyle w:val="Hyperlink"/>
                <w:noProof/>
                <w:sz w:val="20"/>
                <w:szCs w:val="20"/>
              </w:rPr>
              <w:t>9.5. Sterile Medicines Production</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_Toc89071567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4EC3E768"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8" w:history="1">
            <w:r w:rsidRPr="001473D6">
              <w:rPr>
                <w:rStyle w:val="Hyperlink"/>
                <w:noProof/>
                <w:sz w:val="20"/>
                <w:szCs w:val="20"/>
              </w:rPr>
              <w:t>9.5.1. Aseptic</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_Toc89071568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4C91547A" w14:textId="77777777" w:rsidR="001473D6" w:rsidRPr="001473D6" w:rsidRDefault="001473D6">
          <w:pPr>
            <w:pStyle w:val="TOC3"/>
            <w:tabs>
              <w:tab w:val="right" w:leader="dot" w:pos="10308"/>
            </w:tabs>
            <w:rPr>
              <w:rFonts w:asciiTheme="minorHAnsi" w:eastAsiaTheme="minorEastAsia" w:hAnsiTheme="minorHAnsi" w:cstheme="minorBidi"/>
              <w:noProof/>
              <w:sz w:val="20"/>
              <w:szCs w:val="20"/>
              <w:lang w:eastAsia="en-AU"/>
            </w:rPr>
          </w:pPr>
          <w:hyperlink w:anchor="_Toc89071569" w:history="1">
            <w:r w:rsidRPr="001473D6">
              <w:rPr>
                <w:rStyle w:val="Hyperlink"/>
                <w:noProof/>
                <w:sz w:val="20"/>
                <w:szCs w:val="20"/>
              </w:rPr>
              <w:t>9.5.2. Terminally Sterilised</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_Toc89071569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7E62A209"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0" w:history="1">
            <w:r w:rsidRPr="001473D6">
              <w:rPr>
                <w:rStyle w:val="Hyperlink"/>
                <w:noProof/>
                <w:sz w:val="20"/>
                <w:szCs w:val="20"/>
              </w:rPr>
              <w:t>9.6. Radiopharmaceuticals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_Toc89071570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28EF2BAE"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1" w:history="1">
            <w:r w:rsidRPr="001473D6">
              <w:rPr>
                <w:rStyle w:val="Hyperlink"/>
                <w:noProof/>
                <w:sz w:val="20"/>
                <w:szCs w:val="20"/>
              </w:rPr>
              <w:t>9.7. Cytotoxic Medicines Production</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_Toc89071571 \h </w:instrText>
            </w:r>
            <w:r w:rsidRPr="001473D6">
              <w:rPr>
                <w:noProof/>
                <w:webHidden/>
                <w:sz w:val="20"/>
                <w:szCs w:val="20"/>
              </w:rPr>
            </w:r>
            <w:r w:rsidRPr="001473D6">
              <w:rPr>
                <w:noProof/>
                <w:webHidden/>
                <w:sz w:val="20"/>
                <w:szCs w:val="20"/>
              </w:rPr>
              <w:fldChar w:fldCharType="separate"/>
            </w:r>
            <w:r w:rsidR="00132D41">
              <w:rPr>
                <w:noProof/>
                <w:webHidden/>
                <w:sz w:val="20"/>
                <w:szCs w:val="20"/>
              </w:rPr>
              <w:t>8</w:t>
            </w:r>
            <w:r w:rsidRPr="001473D6">
              <w:rPr>
                <w:noProof/>
                <w:webHidden/>
                <w:sz w:val="20"/>
                <w:szCs w:val="20"/>
              </w:rPr>
              <w:fldChar w:fldCharType="end"/>
            </w:r>
          </w:hyperlink>
        </w:p>
        <w:p w14:paraId="7A6B8827"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2" w:history="1">
            <w:r w:rsidRPr="001473D6">
              <w:rPr>
                <w:rStyle w:val="Hyperlink"/>
                <w:noProof/>
                <w:sz w:val="20"/>
                <w:szCs w:val="20"/>
              </w:rPr>
              <w:t>9.8. Medicines Information</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_Toc89071572 \h </w:instrText>
            </w:r>
            <w:r w:rsidRPr="001473D6">
              <w:rPr>
                <w:noProof/>
                <w:webHidden/>
                <w:sz w:val="20"/>
                <w:szCs w:val="20"/>
              </w:rPr>
            </w:r>
            <w:r w:rsidRPr="001473D6">
              <w:rPr>
                <w:noProof/>
                <w:webHidden/>
                <w:sz w:val="20"/>
                <w:szCs w:val="20"/>
              </w:rPr>
              <w:fldChar w:fldCharType="separate"/>
            </w:r>
            <w:r w:rsidR="00132D41">
              <w:rPr>
                <w:noProof/>
                <w:webHidden/>
                <w:sz w:val="20"/>
                <w:szCs w:val="20"/>
              </w:rPr>
              <w:t>9</w:t>
            </w:r>
            <w:r w:rsidRPr="001473D6">
              <w:rPr>
                <w:noProof/>
                <w:webHidden/>
                <w:sz w:val="20"/>
                <w:szCs w:val="20"/>
              </w:rPr>
              <w:fldChar w:fldCharType="end"/>
            </w:r>
          </w:hyperlink>
        </w:p>
        <w:p w14:paraId="0A532720"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3" w:history="1">
            <w:r w:rsidRPr="001473D6">
              <w:rPr>
                <w:rStyle w:val="Hyperlink"/>
                <w:noProof/>
                <w:sz w:val="20"/>
                <w:szCs w:val="20"/>
              </w:rPr>
              <w:t>9.9. Staff Rooms, Toilets and Change Rooms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_Toc89071573 \h </w:instrText>
            </w:r>
            <w:r w:rsidRPr="001473D6">
              <w:rPr>
                <w:noProof/>
                <w:webHidden/>
                <w:sz w:val="20"/>
                <w:szCs w:val="20"/>
              </w:rPr>
            </w:r>
            <w:r w:rsidRPr="001473D6">
              <w:rPr>
                <w:noProof/>
                <w:webHidden/>
                <w:sz w:val="20"/>
                <w:szCs w:val="20"/>
              </w:rPr>
              <w:fldChar w:fldCharType="separate"/>
            </w:r>
            <w:r w:rsidR="00132D41">
              <w:rPr>
                <w:noProof/>
                <w:webHidden/>
                <w:sz w:val="20"/>
                <w:szCs w:val="20"/>
              </w:rPr>
              <w:t>9</w:t>
            </w:r>
            <w:r w:rsidRPr="001473D6">
              <w:rPr>
                <w:noProof/>
                <w:webHidden/>
                <w:sz w:val="20"/>
                <w:szCs w:val="20"/>
              </w:rPr>
              <w:fldChar w:fldCharType="end"/>
            </w:r>
          </w:hyperlink>
        </w:p>
        <w:p w14:paraId="331099EB"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74" w:history="1">
            <w:r w:rsidRPr="001473D6">
              <w:rPr>
                <w:rStyle w:val="Hyperlink"/>
                <w:noProof/>
                <w:sz w:val="20"/>
                <w:szCs w:val="20"/>
              </w:rPr>
              <w:t>10. Schedule 8 Safe</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_Toc89071574 \h </w:instrText>
            </w:r>
            <w:r w:rsidRPr="001473D6">
              <w:rPr>
                <w:noProof/>
                <w:webHidden/>
                <w:sz w:val="20"/>
                <w:szCs w:val="20"/>
              </w:rPr>
            </w:r>
            <w:r w:rsidRPr="001473D6">
              <w:rPr>
                <w:noProof/>
                <w:webHidden/>
                <w:sz w:val="20"/>
                <w:szCs w:val="20"/>
              </w:rPr>
              <w:fldChar w:fldCharType="separate"/>
            </w:r>
            <w:r w:rsidR="00132D41">
              <w:rPr>
                <w:noProof/>
                <w:webHidden/>
                <w:sz w:val="20"/>
                <w:szCs w:val="20"/>
              </w:rPr>
              <w:t>9</w:t>
            </w:r>
            <w:r w:rsidRPr="001473D6">
              <w:rPr>
                <w:noProof/>
                <w:webHidden/>
                <w:sz w:val="20"/>
                <w:szCs w:val="20"/>
              </w:rPr>
              <w:fldChar w:fldCharType="end"/>
            </w:r>
          </w:hyperlink>
        </w:p>
        <w:p w14:paraId="1EED950E"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75" w:history="1">
            <w:r w:rsidRPr="001473D6">
              <w:rPr>
                <w:rStyle w:val="Hyperlink"/>
                <w:noProof/>
                <w:sz w:val="20"/>
                <w:szCs w:val="20"/>
              </w:rPr>
              <w:t>11. Medication Refrigerator / Cold Room and Freezer</w:t>
            </w:r>
            <w:r>
              <w:rPr>
                <w:rStyle w:val="Hyperlink"/>
                <w:noProof/>
                <w:sz w:val="20"/>
                <w:szCs w:val="20"/>
              </w:rPr>
              <w:t xml:space="preserve"> </w:t>
            </w:r>
            <w:r w:rsidRPr="001473D6">
              <w:rPr>
                <w:rStyle w:val="Hyperlink"/>
                <w:noProof/>
                <w:sz w:val="20"/>
                <w:szCs w:val="20"/>
              </w:rPr>
              <w:t>(Cold Chain Management)</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_Toc89071575 \h </w:instrText>
            </w:r>
            <w:r w:rsidRPr="001473D6">
              <w:rPr>
                <w:noProof/>
                <w:webHidden/>
                <w:sz w:val="20"/>
                <w:szCs w:val="20"/>
              </w:rPr>
            </w:r>
            <w:r w:rsidRPr="001473D6">
              <w:rPr>
                <w:noProof/>
                <w:webHidden/>
                <w:sz w:val="20"/>
                <w:szCs w:val="20"/>
              </w:rPr>
              <w:fldChar w:fldCharType="separate"/>
            </w:r>
            <w:r w:rsidR="00132D41">
              <w:rPr>
                <w:noProof/>
                <w:webHidden/>
                <w:sz w:val="20"/>
                <w:szCs w:val="20"/>
              </w:rPr>
              <w:t>9</w:t>
            </w:r>
            <w:r w:rsidRPr="001473D6">
              <w:rPr>
                <w:noProof/>
                <w:webHidden/>
                <w:sz w:val="20"/>
                <w:szCs w:val="20"/>
              </w:rPr>
              <w:fldChar w:fldCharType="end"/>
            </w:r>
          </w:hyperlink>
        </w:p>
        <w:p w14:paraId="1B7BF4E8"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6" w:history="1">
            <w:r w:rsidRPr="001473D6">
              <w:rPr>
                <w:rStyle w:val="Hyperlink"/>
                <w:noProof/>
                <w:sz w:val="20"/>
                <w:szCs w:val="20"/>
              </w:rPr>
              <w:t>11.1. Medication Refrigerator / Cold Room</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_Toc89071576 \h </w:instrText>
            </w:r>
            <w:r w:rsidRPr="001473D6">
              <w:rPr>
                <w:noProof/>
                <w:webHidden/>
                <w:sz w:val="20"/>
                <w:szCs w:val="20"/>
              </w:rPr>
            </w:r>
            <w:r w:rsidRPr="001473D6">
              <w:rPr>
                <w:noProof/>
                <w:webHidden/>
                <w:sz w:val="20"/>
                <w:szCs w:val="20"/>
              </w:rPr>
              <w:fldChar w:fldCharType="separate"/>
            </w:r>
            <w:r w:rsidR="00132D41">
              <w:rPr>
                <w:noProof/>
                <w:webHidden/>
                <w:sz w:val="20"/>
                <w:szCs w:val="20"/>
              </w:rPr>
              <w:t>9</w:t>
            </w:r>
            <w:r w:rsidRPr="001473D6">
              <w:rPr>
                <w:noProof/>
                <w:webHidden/>
                <w:sz w:val="20"/>
                <w:szCs w:val="20"/>
              </w:rPr>
              <w:fldChar w:fldCharType="end"/>
            </w:r>
          </w:hyperlink>
        </w:p>
        <w:p w14:paraId="7D6F324F" w14:textId="77777777" w:rsidR="001473D6" w:rsidRPr="001473D6" w:rsidRDefault="001473D6">
          <w:pPr>
            <w:pStyle w:val="TOC2"/>
            <w:rPr>
              <w:rFonts w:asciiTheme="minorHAnsi" w:eastAsiaTheme="minorEastAsia" w:hAnsiTheme="minorHAnsi" w:cstheme="minorBidi"/>
              <w:noProof/>
              <w:sz w:val="20"/>
              <w:szCs w:val="20"/>
              <w:lang w:eastAsia="en-AU"/>
            </w:rPr>
          </w:pPr>
          <w:hyperlink w:anchor="_Toc89071577" w:history="1">
            <w:r w:rsidRPr="001473D6">
              <w:rPr>
                <w:rStyle w:val="Hyperlink"/>
                <w:noProof/>
                <w:sz w:val="20"/>
                <w:szCs w:val="20"/>
              </w:rPr>
              <w:t>11.2. Medication Freezer</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_Toc89071577 \h </w:instrText>
            </w:r>
            <w:r w:rsidRPr="001473D6">
              <w:rPr>
                <w:noProof/>
                <w:webHidden/>
                <w:sz w:val="20"/>
                <w:szCs w:val="20"/>
              </w:rPr>
            </w:r>
            <w:r w:rsidRPr="001473D6">
              <w:rPr>
                <w:noProof/>
                <w:webHidden/>
                <w:sz w:val="20"/>
                <w:szCs w:val="20"/>
              </w:rPr>
              <w:fldChar w:fldCharType="separate"/>
            </w:r>
            <w:r w:rsidR="00132D41">
              <w:rPr>
                <w:noProof/>
                <w:webHidden/>
                <w:sz w:val="20"/>
                <w:szCs w:val="20"/>
              </w:rPr>
              <w:t>10</w:t>
            </w:r>
            <w:r w:rsidRPr="001473D6">
              <w:rPr>
                <w:noProof/>
                <w:webHidden/>
                <w:sz w:val="20"/>
                <w:szCs w:val="20"/>
              </w:rPr>
              <w:fldChar w:fldCharType="end"/>
            </w:r>
          </w:hyperlink>
        </w:p>
        <w:p w14:paraId="2DE9EC39"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78" w:history="1">
            <w:r w:rsidRPr="001473D6">
              <w:rPr>
                <w:rStyle w:val="Hyperlink"/>
                <w:noProof/>
                <w:sz w:val="20"/>
                <w:szCs w:val="20"/>
              </w:rPr>
              <w:t>12. Sinks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_Toc89071578 \h </w:instrText>
            </w:r>
            <w:r w:rsidRPr="001473D6">
              <w:rPr>
                <w:noProof/>
                <w:webHidden/>
                <w:sz w:val="20"/>
                <w:szCs w:val="20"/>
              </w:rPr>
            </w:r>
            <w:r w:rsidRPr="001473D6">
              <w:rPr>
                <w:noProof/>
                <w:webHidden/>
                <w:sz w:val="20"/>
                <w:szCs w:val="20"/>
              </w:rPr>
              <w:fldChar w:fldCharType="separate"/>
            </w:r>
            <w:r w:rsidR="00132D41">
              <w:rPr>
                <w:noProof/>
                <w:webHidden/>
                <w:sz w:val="20"/>
                <w:szCs w:val="20"/>
              </w:rPr>
              <w:t>10</w:t>
            </w:r>
            <w:r w:rsidRPr="001473D6">
              <w:rPr>
                <w:noProof/>
                <w:webHidden/>
                <w:sz w:val="20"/>
                <w:szCs w:val="20"/>
              </w:rPr>
              <w:fldChar w:fldCharType="end"/>
            </w:r>
          </w:hyperlink>
        </w:p>
        <w:p w14:paraId="0218135D"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79" w:history="1">
            <w:r w:rsidRPr="001473D6">
              <w:rPr>
                <w:rStyle w:val="Hyperlink"/>
                <w:noProof/>
                <w:sz w:val="20"/>
                <w:szCs w:val="20"/>
              </w:rPr>
              <w:t>13. Hygiene and Pest Control</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_Toc89071579 \h </w:instrText>
            </w:r>
            <w:r w:rsidRPr="001473D6">
              <w:rPr>
                <w:noProof/>
                <w:webHidden/>
                <w:sz w:val="20"/>
                <w:szCs w:val="20"/>
              </w:rPr>
            </w:r>
            <w:r w:rsidRPr="001473D6">
              <w:rPr>
                <w:noProof/>
                <w:webHidden/>
                <w:sz w:val="20"/>
                <w:szCs w:val="20"/>
              </w:rPr>
              <w:fldChar w:fldCharType="separate"/>
            </w:r>
            <w:r w:rsidR="00132D41">
              <w:rPr>
                <w:noProof/>
                <w:webHidden/>
                <w:sz w:val="20"/>
                <w:szCs w:val="20"/>
              </w:rPr>
              <w:t>10</w:t>
            </w:r>
            <w:r w:rsidRPr="001473D6">
              <w:rPr>
                <w:noProof/>
                <w:webHidden/>
                <w:sz w:val="20"/>
                <w:szCs w:val="20"/>
              </w:rPr>
              <w:fldChar w:fldCharType="end"/>
            </w:r>
          </w:hyperlink>
        </w:p>
        <w:p w14:paraId="70AB834A"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0" w:history="1">
            <w:r w:rsidRPr="001473D6">
              <w:rPr>
                <w:rStyle w:val="Hyperlink"/>
                <w:noProof/>
                <w:sz w:val="20"/>
                <w:szCs w:val="20"/>
              </w:rPr>
              <w:t>14. Medicines Storage</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_Toc89071580 \h </w:instrText>
            </w:r>
            <w:r w:rsidRPr="001473D6">
              <w:rPr>
                <w:noProof/>
                <w:webHidden/>
                <w:sz w:val="20"/>
                <w:szCs w:val="20"/>
              </w:rPr>
            </w:r>
            <w:r w:rsidRPr="001473D6">
              <w:rPr>
                <w:noProof/>
                <w:webHidden/>
                <w:sz w:val="20"/>
                <w:szCs w:val="20"/>
              </w:rPr>
              <w:fldChar w:fldCharType="separate"/>
            </w:r>
            <w:r w:rsidR="00132D41">
              <w:rPr>
                <w:noProof/>
                <w:webHidden/>
                <w:sz w:val="20"/>
                <w:szCs w:val="20"/>
              </w:rPr>
              <w:t>10</w:t>
            </w:r>
            <w:r w:rsidRPr="001473D6">
              <w:rPr>
                <w:noProof/>
                <w:webHidden/>
                <w:sz w:val="20"/>
                <w:szCs w:val="20"/>
              </w:rPr>
              <w:fldChar w:fldCharType="end"/>
            </w:r>
          </w:hyperlink>
        </w:p>
        <w:p w14:paraId="7ED8AA0A"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1" w:history="1">
            <w:r w:rsidRPr="001473D6">
              <w:rPr>
                <w:rStyle w:val="Hyperlink"/>
                <w:noProof/>
                <w:sz w:val="20"/>
                <w:szCs w:val="20"/>
              </w:rPr>
              <w:t>15. Opioid Pharmacotherapy Program (OPP)</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_Toc89071581 \h </w:instrText>
            </w:r>
            <w:r w:rsidRPr="001473D6">
              <w:rPr>
                <w:noProof/>
                <w:webHidden/>
                <w:sz w:val="20"/>
                <w:szCs w:val="20"/>
              </w:rPr>
            </w:r>
            <w:r w:rsidRPr="001473D6">
              <w:rPr>
                <w:noProof/>
                <w:webHidden/>
                <w:sz w:val="20"/>
                <w:szCs w:val="20"/>
              </w:rPr>
              <w:fldChar w:fldCharType="separate"/>
            </w:r>
            <w:r w:rsidR="00132D41">
              <w:rPr>
                <w:noProof/>
                <w:webHidden/>
                <w:sz w:val="20"/>
                <w:szCs w:val="20"/>
              </w:rPr>
              <w:t>11</w:t>
            </w:r>
            <w:r w:rsidRPr="001473D6">
              <w:rPr>
                <w:noProof/>
                <w:webHidden/>
                <w:sz w:val="20"/>
                <w:szCs w:val="20"/>
              </w:rPr>
              <w:fldChar w:fldCharType="end"/>
            </w:r>
          </w:hyperlink>
        </w:p>
        <w:p w14:paraId="590031A6"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2" w:history="1">
            <w:r w:rsidRPr="001473D6">
              <w:rPr>
                <w:rStyle w:val="Hyperlink"/>
                <w:noProof/>
                <w:sz w:val="20"/>
                <w:szCs w:val="20"/>
              </w:rPr>
              <w:t>16. Acknowledgements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_Toc89071582 \h </w:instrText>
            </w:r>
            <w:r w:rsidRPr="001473D6">
              <w:rPr>
                <w:noProof/>
                <w:webHidden/>
                <w:sz w:val="20"/>
                <w:szCs w:val="20"/>
              </w:rPr>
            </w:r>
            <w:r w:rsidRPr="001473D6">
              <w:rPr>
                <w:noProof/>
                <w:webHidden/>
                <w:sz w:val="20"/>
                <w:szCs w:val="20"/>
              </w:rPr>
              <w:fldChar w:fldCharType="separate"/>
            </w:r>
            <w:r w:rsidR="00132D41">
              <w:rPr>
                <w:noProof/>
                <w:webHidden/>
                <w:sz w:val="20"/>
                <w:szCs w:val="20"/>
              </w:rPr>
              <w:t>11</w:t>
            </w:r>
            <w:r w:rsidRPr="001473D6">
              <w:rPr>
                <w:noProof/>
                <w:webHidden/>
                <w:sz w:val="20"/>
                <w:szCs w:val="20"/>
              </w:rPr>
              <w:fldChar w:fldCharType="end"/>
            </w:r>
          </w:hyperlink>
        </w:p>
        <w:p w14:paraId="777D9C6C"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3" w:history="1">
            <w:r w:rsidRPr="001473D6">
              <w:rPr>
                <w:rStyle w:val="Hyperlink"/>
                <w:noProof/>
                <w:sz w:val="20"/>
                <w:szCs w:val="20"/>
              </w:rPr>
              <w:t>17. Disclaimer</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_Toc89071583 \h </w:instrText>
            </w:r>
            <w:r w:rsidRPr="001473D6">
              <w:rPr>
                <w:noProof/>
                <w:webHidden/>
                <w:sz w:val="20"/>
                <w:szCs w:val="20"/>
              </w:rPr>
            </w:r>
            <w:r w:rsidRPr="001473D6">
              <w:rPr>
                <w:noProof/>
                <w:webHidden/>
                <w:sz w:val="20"/>
                <w:szCs w:val="20"/>
              </w:rPr>
              <w:fldChar w:fldCharType="separate"/>
            </w:r>
            <w:r w:rsidR="00132D41">
              <w:rPr>
                <w:noProof/>
                <w:webHidden/>
                <w:sz w:val="20"/>
                <w:szCs w:val="20"/>
              </w:rPr>
              <w:t>11</w:t>
            </w:r>
            <w:r w:rsidRPr="001473D6">
              <w:rPr>
                <w:noProof/>
                <w:webHidden/>
                <w:sz w:val="20"/>
                <w:szCs w:val="20"/>
              </w:rPr>
              <w:fldChar w:fldCharType="end"/>
            </w:r>
          </w:hyperlink>
        </w:p>
        <w:p w14:paraId="28E6C363"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4" w:history="1">
            <w:r w:rsidRPr="001473D6">
              <w:rPr>
                <w:rStyle w:val="Hyperlink"/>
                <w:noProof/>
                <w:sz w:val="20"/>
                <w:szCs w:val="20"/>
              </w:rPr>
              <w:t>Appendix A: Service Level for Pharmacy Departments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_Toc89071584 \h </w:instrText>
            </w:r>
            <w:r w:rsidRPr="001473D6">
              <w:rPr>
                <w:noProof/>
                <w:webHidden/>
                <w:sz w:val="20"/>
                <w:szCs w:val="20"/>
              </w:rPr>
            </w:r>
            <w:r w:rsidRPr="001473D6">
              <w:rPr>
                <w:noProof/>
                <w:webHidden/>
                <w:sz w:val="20"/>
                <w:szCs w:val="20"/>
              </w:rPr>
              <w:fldChar w:fldCharType="separate"/>
            </w:r>
            <w:r w:rsidR="00132D41">
              <w:rPr>
                <w:noProof/>
                <w:webHidden/>
                <w:sz w:val="20"/>
                <w:szCs w:val="20"/>
              </w:rPr>
              <w:t>11</w:t>
            </w:r>
            <w:r w:rsidRPr="001473D6">
              <w:rPr>
                <w:noProof/>
                <w:webHidden/>
                <w:sz w:val="20"/>
                <w:szCs w:val="20"/>
              </w:rPr>
              <w:fldChar w:fldCharType="end"/>
            </w:r>
          </w:hyperlink>
        </w:p>
        <w:p w14:paraId="37E27306" w14:textId="77777777" w:rsidR="001473D6" w:rsidRPr="001473D6" w:rsidRDefault="001473D6">
          <w:pPr>
            <w:pStyle w:val="TOC1"/>
            <w:rPr>
              <w:rFonts w:asciiTheme="minorHAnsi" w:eastAsiaTheme="minorEastAsia" w:hAnsiTheme="minorHAnsi" w:cstheme="minorBidi"/>
              <w:b w:val="0"/>
              <w:noProof/>
              <w:sz w:val="20"/>
              <w:szCs w:val="20"/>
              <w:lang w:eastAsia="en-AU"/>
            </w:rPr>
          </w:pPr>
          <w:hyperlink w:anchor="_Toc89071585" w:history="1">
            <w:r w:rsidRPr="001473D6">
              <w:rPr>
                <w:rStyle w:val="Hyperlink"/>
                <w:noProof/>
                <w:sz w:val="20"/>
                <w:szCs w:val="20"/>
              </w:rPr>
              <w:t>Appendix B: Determination of risk for pharmacy departments</w:t>
            </w:r>
            <w:r w:rsidRPr="001473D6">
              <w:rPr>
                <w:noProof/>
                <w:webHidden/>
                <w:sz w:val="20"/>
                <w:szCs w:val="20"/>
              </w:rPr>
              <w:tab/>
            </w:r>
            <w:r w:rsidRPr="001473D6">
              <w:rPr>
                <w:noProof/>
                <w:webHidden/>
                <w:sz w:val="20"/>
                <w:szCs w:val="20"/>
              </w:rPr>
              <w:fldChar w:fldCharType="begin"/>
            </w:r>
            <w:r w:rsidRPr="001473D6">
              <w:rPr>
                <w:noProof/>
                <w:webHidden/>
                <w:sz w:val="20"/>
                <w:szCs w:val="20"/>
              </w:rPr>
              <w:instrText xml:space="preserve"> PAGEREF _Toc89071585 \h </w:instrText>
            </w:r>
            <w:r w:rsidRPr="001473D6">
              <w:rPr>
                <w:noProof/>
                <w:webHidden/>
                <w:sz w:val="20"/>
                <w:szCs w:val="20"/>
              </w:rPr>
            </w:r>
            <w:r w:rsidRPr="001473D6">
              <w:rPr>
                <w:noProof/>
                <w:webHidden/>
                <w:sz w:val="20"/>
                <w:szCs w:val="20"/>
              </w:rPr>
              <w:fldChar w:fldCharType="separate"/>
            </w:r>
            <w:r w:rsidR="00132D41">
              <w:rPr>
                <w:noProof/>
                <w:webHidden/>
                <w:sz w:val="20"/>
                <w:szCs w:val="20"/>
              </w:rPr>
              <w:t>15</w:t>
            </w:r>
            <w:r w:rsidRPr="001473D6">
              <w:rPr>
                <w:noProof/>
                <w:webHidden/>
                <w:sz w:val="20"/>
                <w:szCs w:val="20"/>
              </w:rPr>
              <w:fldChar w:fldCharType="end"/>
            </w:r>
          </w:hyperlink>
        </w:p>
        <w:p w14:paraId="056380A7" w14:textId="77777777" w:rsidR="004E7885" w:rsidRPr="001473D6" w:rsidRDefault="006747E0" w:rsidP="00E977DB">
          <w:pPr>
            <w:pStyle w:val="TOC1"/>
            <w:rPr>
              <w:rFonts w:eastAsiaTheme="minorEastAsia" w:cs="Arial"/>
              <w:sz w:val="20"/>
              <w:szCs w:val="20"/>
              <w:lang w:eastAsia="en-AU"/>
            </w:rPr>
          </w:pPr>
          <w:r w:rsidRPr="001473D6">
            <w:rPr>
              <w:rFonts w:eastAsiaTheme="minorEastAsia" w:cs="Arial"/>
              <w:sz w:val="20"/>
              <w:szCs w:val="20"/>
              <w:lang w:eastAsia="en-AU"/>
            </w:rPr>
            <w:fldChar w:fldCharType="end"/>
          </w:r>
        </w:p>
      </w:sdtContent>
    </w:sdt>
    <w:p w14:paraId="554B477B"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44021818" w14:textId="77777777" w:rsidR="00EB3D43" w:rsidRDefault="00E4549C" w:rsidP="00E45536">
      <w:pPr>
        <w:pStyle w:val="Heading1"/>
        <w:rPr>
          <w:noProof/>
          <w:lang w:eastAsia="en-AU"/>
        </w:rPr>
      </w:pPr>
      <w:bookmarkStart w:id="0" w:name="_Toc89071546"/>
      <w:r>
        <w:rPr>
          <w:noProof/>
          <w:lang w:eastAsia="en-AU"/>
        </w:rPr>
        <w:lastRenderedPageBreak/>
        <w:t>General Information</w:t>
      </w:r>
      <w:bookmarkEnd w:id="0"/>
    </w:p>
    <w:p w14:paraId="1F632577" w14:textId="77777777" w:rsidR="00E4549C" w:rsidRPr="00386FE2" w:rsidRDefault="00E4549C" w:rsidP="00E4549C">
      <w:pPr>
        <w:spacing w:after="0"/>
        <w:jc w:val="both"/>
        <w:rPr>
          <w:rFonts w:asciiTheme="minorHAnsi" w:hAnsiTheme="minorHAnsi" w:cstheme="minorHAnsi"/>
        </w:rPr>
      </w:pPr>
      <w:r w:rsidRPr="00386FE2">
        <w:rPr>
          <w:rFonts w:asciiTheme="minorHAnsi" w:hAnsiTheme="minorHAnsi" w:cstheme="minorHAnsi"/>
        </w:rPr>
        <w:t xml:space="preserve">Pursuant to the </w:t>
      </w:r>
      <w:r w:rsidRPr="00386FE2">
        <w:rPr>
          <w:rFonts w:asciiTheme="minorHAnsi" w:hAnsiTheme="minorHAnsi" w:cstheme="minorHAnsi"/>
          <w:i/>
        </w:rPr>
        <w:t>Health Practitioners Act</w:t>
      </w:r>
      <w:r w:rsidR="00386FE2" w:rsidRPr="00386FE2">
        <w:rPr>
          <w:rFonts w:asciiTheme="minorHAnsi" w:hAnsiTheme="minorHAnsi" w:cstheme="minorHAnsi"/>
          <w:i/>
        </w:rPr>
        <w:t xml:space="preserve"> 2004</w:t>
      </w:r>
      <w:r w:rsidRPr="00386FE2">
        <w:rPr>
          <w:rFonts w:asciiTheme="minorHAnsi" w:hAnsiTheme="minorHAnsi" w:cstheme="minorHAnsi"/>
          <w:i/>
        </w:rPr>
        <w:t xml:space="preserve"> (HPA),</w:t>
      </w:r>
      <w:r w:rsidRPr="00386FE2">
        <w:rPr>
          <w:rFonts w:asciiTheme="minorHAnsi" w:hAnsiTheme="minorHAnsi" w:cstheme="minorHAnsi"/>
        </w:rPr>
        <w:t xml:space="preserve"> Schedule 7, Clause 4</w:t>
      </w:r>
      <w:r w:rsidRPr="00386FE2">
        <w:rPr>
          <w:rFonts w:asciiTheme="minorHAnsi" w:hAnsiTheme="minorHAnsi" w:cstheme="minorHAnsi"/>
          <w:i/>
        </w:rPr>
        <w:t xml:space="preserve"> </w:t>
      </w:r>
      <w:r w:rsidRPr="00386FE2">
        <w:rPr>
          <w:rFonts w:asciiTheme="minorHAnsi" w:hAnsiTheme="minorHAnsi" w:cstheme="minorHAnsi"/>
        </w:rPr>
        <w:t>the Pharmacy Premises Committee (</w:t>
      </w:r>
      <w:r w:rsidR="00386FE2" w:rsidRPr="00386FE2">
        <w:rPr>
          <w:rFonts w:asciiTheme="minorHAnsi" w:hAnsiTheme="minorHAnsi" w:cstheme="minorHAnsi"/>
        </w:rPr>
        <w:t xml:space="preserve">the </w:t>
      </w:r>
      <w:r w:rsidRPr="00386FE2">
        <w:rPr>
          <w:rFonts w:asciiTheme="minorHAnsi" w:hAnsiTheme="minorHAnsi" w:cstheme="minorHAnsi"/>
        </w:rPr>
        <w:t xml:space="preserve">Committee) prescribes that all pharmacy departments </w:t>
      </w:r>
      <w:r w:rsidR="00386FE2" w:rsidRPr="00386FE2">
        <w:rPr>
          <w:rFonts w:asciiTheme="minorHAnsi" w:hAnsiTheme="minorHAnsi" w:cstheme="minorHAnsi"/>
        </w:rPr>
        <w:t xml:space="preserve">in the Northern Territory (NT) </w:t>
      </w:r>
      <w:r w:rsidRPr="00386FE2">
        <w:rPr>
          <w:rFonts w:asciiTheme="minorHAnsi" w:hAnsiTheme="minorHAnsi" w:cstheme="minorHAnsi"/>
        </w:rPr>
        <w:t>must comply with the following premises standard.</w:t>
      </w:r>
    </w:p>
    <w:p w14:paraId="39A10A6A" w14:textId="77777777" w:rsidR="00386FE2" w:rsidRPr="00386FE2" w:rsidRDefault="00386FE2" w:rsidP="00386FE2">
      <w:pPr>
        <w:pStyle w:val="Heading2"/>
        <w:rPr>
          <w:sz w:val="28"/>
          <w:szCs w:val="28"/>
        </w:rPr>
      </w:pPr>
      <w:bookmarkStart w:id="1" w:name="_Toc89071547"/>
      <w:r w:rsidRPr="00386FE2">
        <w:rPr>
          <w:sz w:val="28"/>
          <w:szCs w:val="28"/>
        </w:rPr>
        <w:t>Definition of a pharmacy department</w:t>
      </w:r>
      <w:bookmarkEnd w:id="1"/>
    </w:p>
    <w:p w14:paraId="72196995" w14:textId="77777777" w:rsidR="00386FE2" w:rsidRPr="00386FE2" w:rsidRDefault="00386FE2" w:rsidP="00386FE2">
      <w:pPr>
        <w:rPr>
          <w:rFonts w:asciiTheme="minorHAnsi" w:hAnsiTheme="minorHAnsi" w:cstheme="minorHAnsi"/>
        </w:rPr>
      </w:pPr>
      <w:r w:rsidRPr="00386FE2">
        <w:rPr>
          <w:rFonts w:asciiTheme="minorHAnsi" w:hAnsiTheme="minorHAnsi" w:cstheme="minorHAnsi"/>
        </w:rPr>
        <w:t xml:space="preserve">The </w:t>
      </w:r>
      <w:r w:rsidRPr="00386FE2">
        <w:rPr>
          <w:rFonts w:asciiTheme="minorHAnsi" w:hAnsiTheme="minorHAnsi" w:cstheme="minorHAnsi"/>
          <w:i/>
        </w:rPr>
        <w:t>Health Practitioners Act</w:t>
      </w:r>
      <w:r>
        <w:rPr>
          <w:rFonts w:asciiTheme="minorHAnsi" w:hAnsiTheme="minorHAnsi" w:cstheme="minorHAnsi"/>
          <w:i/>
        </w:rPr>
        <w:t xml:space="preserve"> 2004</w:t>
      </w:r>
      <w:r w:rsidRPr="00386FE2">
        <w:rPr>
          <w:rFonts w:asciiTheme="minorHAnsi" w:hAnsiTheme="minorHAnsi" w:cstheme="minorHAnsi"/>
        </w:rPr>
        <w:t xml:space="preserve"> defines a pharmacy department as a premise or part of a premise which provides a pharmacy service. A pharmacy service means a service that includes the custody of medicines, the dispensing of medicines on prescription and the supply of scheduled medicines to patients and consumers.</w:t>
      </w:r>
    </w:p>
    <w:p w14:paraId="53F47A9B" w14:textId="77777777" w:rsidR="00386FE2" w:rsidRPr="00386FE2" w:rsidRDefault="00386FE2" w:rsidP="00386FE2">
      <w:pPr>
        <w:pStyle w:val="Heading2"/>
        <w:rPr>
          <w:sz w:val="28"/>
          <w:szCs w:val="28"/>
        </w:rPr>
      </w:pPr>
      <w:bookmarkStart w:id="2" w:name="_Toc89071548"/>
      <w:r w:rsidRPr="00386FE2">
        <w:rPr>
          <w:sz w:val="28"/>
          <w:szCs w:val="28"/>
        </w:rPr>
        <w:t>Compliance of this standard</w:t>
      </w:r>
      <w:bookmarkEnd w:id="2"/>
    </w:p>
    <w:p w14:paraId="6510615A" w14:textId="77777777" w:rsidR="00930C97" w:rsidRDefault="00386FE2" w:rsidP="00386FE2">
      <w:r>
        <w:t>Pharmacy D</w:t>
      </w:r>
      <w:r w:rsidR="00930C97">
        <w:t xml:space="preserve">epartments are deemed to </w:t>
      </w:r>
      <w:proofErr w:type="gramStart"/>
      <w:r w:rsidR="00930C97">
        <w:t>be in compliance</w:t>
      </w:r>
      <w:proofErr w:type="gramEnd"/>
      <w:r w:rsidR="00930C97">
        <w:t xml:space="preserve"> of the following standard - will be issued a Certificate of Compliance with the following conditions:</w:t>
      </w:r>
    </w:p>
    <w:p w14:paraId="407399C1" w14:textId="77777777" w:rsidR="00930C97" w:rsidRDefault="00930C97" w:rsidP="000F5DE6">
      <w:pPr>
        <w:pStyle w:val="ListParagraph"/>
        <w:numPr>
          <w:ilvl w:val="0"/>
          <w:numId w:val="32"/>
        </w:numPr>
        <w:spacing w:after="0"/>
      </w:pPr>
      <w:r>
        <w:t xml:space="preserve">Valid only for the listed </w:t>
      </w:r>
      <w:proofErr w:type="gramStart"/>
      <w:r>
        <w:t>address;</w:t>
      </w:r>
      <w:proofErr w:type="gramEnd"/>
    </w:p>
    <w:p w14:paraId="2DDE55B5" w14:textId="77777777" w:rsidR="00386FE2" w:rsidRDefault="00930C97" w:rsidP="000F5DE6">
      <w:pPr>
        <w:pStyle w:val="ListParagraph"/>
        <w:numPr>
          <w:ilvl w:val="0"/>
          <w:numId w:val="32"/>
        </w:numPr>
        <w:spacing w:after="0"/>
      </w:pPr>
      <w:r>
        <w:t>Effective for two years; and</w:t>
      </w:r>
    </w:p>
    <w:p w14:paraId="458ADD5E" w14:textId="77777777" w:rsidR="00E4549C" w:rsidRPr="00E4549C" w:rsidRDefault="00930C97" w:rsidP="000F5DE6">
      <w:pPr>
        <w:pStyle w:val="ListParagraph"/>
        <w:numPr>
          <w:ilvl w:val="0"/>
          <w:numId w:val="32"/>
        </w:numPr>
        <w:spacing w:after="0"/>
        <w:rPr>
          <w:lang w:eastAsia="en-AU"/>
        </w:rPr>
      </w:pPr>
      <w:r>
        <w:t>Not applicable if the premises undergoes major retrofitting.</w:t>
      </w:r>
    </w:p>
    <w:p w14:paraId="7B5B261A" w14:textId="77777777" w:rsidR="004E0FD7" w:rsidRDefault="004E0FD7" w:rsidP="00563AA2">
      <w:pPr>
        <w:spacing w:after="0"/>
        <w:rPr>
          <w:lang w:eastAsia="en-AU"/>
        </w:rPr>
      </w:pPr>
    </w:p>
    <w:p w14:paraId="72D1B42B" w14:textId="77777777" w:rsidR="00563AA2" w:rsidRDefault="00563AA2" w:rsidP="00563AA2">
      <w:pPr>
        <w:spacing w:after="0"/>
        <w:rPr>
          <w:lang w:eastAsia="en-AU"/>
        </w:rPr>
      </w:pPr>
    </w:p>
    <w:p w14:paraId="71F9D838" w14:textId="77777777" w:rsidR="004E0FD7" w:rsidRDefault="00930C97" w:rsidP="00563AA2">
      <w:pPr>
        <w:pStyle w:val="Heading1"/>
        <w:spacing w:before="0"/>
        <w:rPr>
          <w:lang w:eastAsia="en-AU"/>
        </w:rPr>
      </w:pPr>
      <w:bookmarkStart w:id="3" w:name="_Toc89071549"/>
      <w:r>
        <w:rPr>
          <w:lang w:eastAsia="en-AU"/>
        </w:rPr>
        <w:t>Overview</w:t>
      </w:r>
      <w:bookmarkEnd w:id="3"/>
    </w:p>
    <w:p w14:paraId="18E8CD43" w14:textId="77777777" w:rsidR="00930C97" w:rsidRPr="00F52DCD" w:rsidRDefault="00930C97" w:rsidP="00930C97">
      <w:pPr>
        <w:spacing w:after="0"/>
        <w:jc w:val="both"/>
        <w:rPr>
          <w:rFonts w:ascii="Calibri" w:hAnsi="Calibri" w:cs="Arial"/>
          <w:sz w:val="24"/>
          <w:szCs w:val="24"/>
        </w:rPr>
      </w:pPr>
      <w:r w:rsidRPr="00F52DCD">
        <w:rPr>
          <w:rFonts w:ascii="Calibri" w:hAnsi="Calibri" w:cs="Arial"/>
          <w:sz w:val="24"/>
          <w:szCs w:val="24"/>
        </w:rPr>
        <w:t>The premises must consist of an enclosed area with sufficient space for the safe provision of therapeutic products and pharmacy services. The premises must:</w:t>
      </w:r>
    </w:p>
    <w:p w14:paraId="361752FD" w14:textId="77777777" w:rsidR="00930C97" w:rsidRPr="00930C97" w:rsidRDefault="00930C97" w:rsidP="000F5DE6">
      <w:pPr>
        <w:pStyle w:val="ListParagraph"/>
        <w:numPr>
          <w:ilvl w:val="0"/>
          <w:numId w:val="31"/>
        </w:numPr>
        <w:tabs>
          <w:tab w:val="left" w:pos="426"/>
        </w:tabs>
        <w:spacing w:before="240" w:after="0"/>
        <w:contextualSpacing/>
        <w:jc w:val="both"/>
        <w:rPr>
          <w:rFonts w:ascii="Calibri" w:hAnsi="Calibri" w:cs="Arial"/>
          <w:sz w:val="24"/>
          <w:szCs w:val="24"/>
        </w:rPr>
      </w:pPr>
      <w:r>
        <w:rPr>
          <w:rFonts w:ascii="Calibri" w:hAnsi="Calibri" w:cs="Arial"/>
          <w:sz w:val="24"/>
          <w:szCs w:val="24"/>
        </w:rPr>
        <w:t>P</w:t>
      </w:r>
      <w:r w:rsidRPr="00930C97">
        <w:rPr>
          <w:rFonts w:ascii="Calibri" w:hAnsi="Calibri" w:cs="Arial"/>
          <w:sz w:val="24"/>
          <w:szCs w:val="24"/>
        </w:rPr>
        <w:t xml:space="preserve">rovide adequate security for the storage of scheduled </w:t>
      </w:r>
      <w:proofErr w:type="gramStart"/>
      <w:r w:rsidRPr="00930C97">
        <w:rPr>
          <w:rFonts w:ascii="Calibri" w:hAnsi="Calibri" w:cs="Arial"/>
          <w:sz w:val="24"/>
          <w:szCs w:val="24"/>
        </w:rPr>
        <w:t>medicines;</w:t>
      </w:r>
      <w:proofErr w:type="gramEnd"/>
    </w:p>
    <w:p w14:paraId="37D790F9" w14:textId="77777777" w:rsidR="00930C97" w:rsidRPr="00930C97" w:rsidRDefault="00930C97" w:rsidP="000F5DE6">
      <w:pPr>
        <w:pStyle w:val="ListParagraph"/>
        <w:numPr>
          <w:ilvl w:val="0"/>
          <w:numId w:val="31"/>
        </w:numPr>
        <w:tabs>
          <w:tab w:val="left" w:pos="426"/>
        </w:tabs>
        <w:spacing w:before="120" w:after="0"/>
        <w:contextualSpacing/>
        <w:jc w:val="both"/>
        <w:rPr>
          <w:rFonts w:ascii="Calibri" w:hAnsi="Calibri" w:cs="Arial"/>
          <w:sz w:val="24"/>
          <w:szCs w:val="24"/>
        </w:rPr>
      </w:pPr>
      <w:r>
        <w:rPr>
          <w:rFonts w:ascii="Calibri" w:hAnsi="Calibri" w:cs="Arial"/>
          <w:sz w:val="24"/>
          <w:szCs w:val="24"/>
        </w:rPr>
        <w:t>P</w:t>
      </w:r>
      <w:r w:rsidRPr="00930C97">
        <w:rPr>
          <w:rFonts w:ascii="Calibri" w:hAnsi="Calibri" w:cs="Arial"/>
          <w:sz w:val="24"/>
          <w:szCs w:val="24"/>
        </w:rPr>
        <w:t xml:space="preserve">rovide the necessary lighting, temperature and humidity control to ensure the integrity of </w:t>
      </w:r>
      <w:proofErr w:type="gramStart"/>
      <w:r w:rsidRPr="00930C97">
        <w:rPr>
          <w:rFonts w:ascii="Calibri" w:hAnsi="Calibri" w:cs="Arial"/>
          <w:sz w:val="24"/>
          <w:szCs w:val="24"/>
        </w:rPr>
        <w:t>medicines;</w:t>
      </w:r>
      <w:proofErr w:type="gramEnd"/>
    </w:p>
    <w:p w14:paraId="63E16ADC" w14:textId="77777777" w:rsidR="00930C97" w:rsidRPr="00930C97" w:rsidRDefault="00930C97" w:rsidP="000F5DE6">
      <w:pPr>
        <w:pStyle w:val="ListParagraph"/>
        <w:numPr>
          <w:ilvl w:val="0"/>
          <w:numId w:val="31"/>
        </w:numPr>
        <w:tabs>
          <w:tab w:val="left" w:pos="426"/>
        </w:tabs>
        <w:spacing w:before="120" w:after="0"/>
        <w:contextualSpacing/>
        <w:jc w:val="both"/>
        <w:rPr>
          <w:rFonts w:ascii="Calibri" w:hAnsi="Calibri" w:cs="Arial"/>
          <w:sz w:val="24"/>
          <w:szCs w:val="24"/>
        </w:rPr>
      </w:pPr>
      <w:r>
        <w:rPr>
          <w:rFonts w:ascii="Calibri" w:hAnsi="Calibri" w:cs="Arial"/>
          <w:sz w:val="24"/>
          <w:szCs w:val="24"/>
        </w:rPr>
        <w:t>A</w:t>
      </w:r>
      <w:r w:rsidRPr="00930C97">
        <w:rPr>
          <w:rFonts w:ascii="Calibri" w:hAnsi="Calibri" w:cs="Arial"/>
          <w:sz w:val="24"/>
          <w:szCs w:val="24"/>
        </w:rPr>
        <w:t>llow an appropriate level of public access; and</w:t>
      </w:r>
    </w:p>
    <w:p w14:paraId="59CD61EC" w14:textId="77777777" w:rsidR="00930C97" w:rsidRPr="00930C97" w:rsidRDefault="00930C97" w:rsidP="000F5DE6">
      <w:pPr>
        <w:pStyle w:val="ListParagraph"/>
        <w:numPr>
          <w:ilvl w:val="0"/>
          <w:numId w:val="31"/>
        </w:numPr>
        <w:tabs>
          <w:tab w:val="left" w:pos="426"/>
        </w:tabs>
        <w:spacing w:after="0"/>
        <w:contextualSpacing/>
        <w:jc w:val="both"/>
        <w:rPr>
          <w:rFonts w:asciiTheme="minorHAnsi" w:hAnsiTheme="minorHAnsi" w:cstheme="minorHAnsi"/>
          <w:sz w:val="24"/>
          <w:szCs w:val="24"/>
        </w:rPr>
      </w:pPr>
      <w:r>
        <w:rPr>
          <w:rFonts w:ascii="Calibri" w:hAnsi="Calibri" w:cs="Arial"/>
          <w:sz w:val="24"/>
          <w:szCs w:val="24"/>
        </w:rPr>
        <w:t>P</w:t>
      </w:r>
      <w:r w:rsidRPr="00930C97">
        <w:rPr>
          <w:rFonts w:ascii="Calibri" w:hAnsi="Calibri" w:cs="Arial"/>
          <w:sz w:val="24"/>
          <w:szCs w:val="24"/>
        </w:rPr>
        <w:t>rotect consumer privacy.</w:t>
      </w:r>
    </w:p>
    <w:p w14:paraId="37327912" w14:textId="77777777" w:rsidR="00930C97" w:rsidRDefault="00930C97" w:rsidP="00563AA2">
      <w:pPr>
        <w:tabs>
          <w:tab w:val="left" w:pos="426"/>
        </w:tabs>
        <w:spacing w:after="0"/>
        <w:contextualSpacing/>
        <w:jc w:val="both"/>
        <w:rPr>
          <w:rFonts w:asciiTheme="minorHAnsi" w:hAnsiTheme="minorHAnsi" w:cstheme="minorHAnsi"/>
          <w:sz w:val="24"/>
          <w:szCs w:val="24"/>
        </w:rPr>
      </w:pPr>
    </w:p>
    <w:p w14:paraId="265B7551" w14:textId="77777777" w:rsidR="00563AA2" w:rsidRPr="00930C97" w:rsidRDefault="00563AA2" w:rsidP="00563AA2">
      <w:pPr>
        <w:tabs>
          <w:tab w:val="left" w:pos="426"/>
        </w:tabs>
        <w:spacing w:after="0"/>
        <w:contextualSpacing/>
        <w:jc w:val="both"/>
        <w:rPr>
          <w:rFonts w:asciiTheme="minorHAnsi" w:hAnsiTheme="minorHAnsi" w:cstheme="minorHAnsi"/>
          <w:sz w:val="24"/>
          <w:szCs w:val="24"/>
        </w:rPr>
      </w:pPr>
    </w:p>
    <w:p w14:paraId="1DB06CBC" w14:textId="77777777" w:rsidR="00930C97" w:rsidRDefault="00930C97" w:rsidP="00563AA2">
      <w:pPr>
        <w:pStyle w:val="Heading1"/>
        <w:spacing w:before="0"/>
      </w:pPr>
      <w:bookmarkStart w:id="4" w:name="_Toc89071550"/>
      <w:r>
        <w:t>Service Level</w:t>
      </w:r>
      <w:bookmarkEnd w:id="4"/>
    </w:p>
    <w:p w14:paraId="144826A4" w14:textId="77777777" w:rsidR="00930C97" w:rsidRDefault="00930C97" w:rsidP="00563AA2">
      <w:pPr>
        <w:spacing w:after="0"/>
      </w:pPr>
      <w:r w:rsidRPr="00930C97">
        <w:t xml:space="preserve">The level of service provided by a pharmacy department is defined in Appendix A. </w:t>
      </w:r>
    </w:p>
    <w:p w14:paraId="2EFF19DA" w14:textId="77777777" w:rsidR="00930C97" w:rsidRDefault="00930C97" w:rsidP="00563AA2">
      <w:pPr>
        <w:spacing w:after="0"/>
      </w:pPr>
    </w:p>
    <w:p w14:paraId="0B8F837C" w14:textId="77777777" w:rsidR="00563AA2" w:rsidRPr="00930C97" w:rsidRDefault="00563AA2" w:rsidP="00563AA2">
      <w:pPr>
        <w:spacing w:after="0"/>
      </w:pPr>
    </w:p>
    <w:p w14:paraId="1BB3E3DF" w14:textId="77777777" w:rsidR="00930C97" w:rsidRDefault="00930C97" w:rsidP="00563AA2">
      <w:pPr>
        <w:pStyle w:val="Heading1"/>
        <w:spacing w:before="0"/>
      </w:pPr>
      <w:bookmarkStart w:id="5" w:name="_Toc89071551"/>
      <w:r>
        <w:t>Pharmacy Department Signage</w:t>
      </w:r>
      <w:bookmarkEnd w:id="5"/>
    </w:p>
    <w:p w14:paraId="5F39A1D9" w14:textId="77777777" w:rsidR="00930C97" w:rsidRDefault="00930C97" w:rsidP="00930C97">
      <w:pPr>
        <w:spacing w:after="0"/>
        <w:jc w:val="both"/>
        <w:rPr>
          <w:rFonts w:asciiTheme="minorHAnsi" w:hAnsiTheme="minorHAnsi" w:cstheme="minorHAnsi"/>
        </w:rPr>
      </w:pPr>
      <w:r w:rsidRPr="00930C97">
        <w:rPr>
          <w:rFonts w:asciiTheme="minorHAnsi" w:hAnsiTheme="minorHAnsi" w:cstheme="minorHAnsi"/>
        </w:rPr>
        <w:t xml:space="preserve">The pharmacy department must have appropriate signage to inform the public of relevant details. Details on the requirement for signage can be found in </w:t>
      </w:r>
      <w:r w:rsidRPr="00930C97">
        <w:rPr>
          <w:rFonts w:asciiTheme="minorHAnsi" w:hAnsiTheme="minorHAnsi" w:cstheme="minorHAnsi"/>
          <w:b/>
        </w:rPr>
        <w:t>PS11 Display of Names Standard for Pharmacy Departments</w:t>
      </w:r>
      <w:r>
        <w:rPr>
          <w:rFonts w:asciiTheme="minorHAnsi" w:hAnsiTheme="minorHAnsi" w:cstheme="minorHAnsi"/>
        </w:rPr>
        <w:t>.</w:t>
      </w:r>
    </w:p>
    <w:p w14:paraId="4102F8BE" w14:textId="77777777" w:rsidR="00930C97" w:rsidRPr="00930C97" w:rsidRDefault="00930C97" w:rsidP="00930C97">
      <w:pPr>
        <w:spacing w:after="0"/>
        <w:jc w:val="both"/>
        <w:rPr>
          <w:rFonts w:asciiTheme="minorHAnsi" w:hAnsiTheme="minorHAnsi" w:cstheme="minorHAnsi"/>
          <w:i/>
          <w:u w:val="single"/>
        </w:rPr>
      </w:pPr>
    </w:p>
    <w:p w14:paraId="2A0D74FB" w14:textId="77777777" w:rsidR="00930C97" w:rsidRDefault="00930C97" w:rsidP="00930C97">
      <w:pPr>
        <w:spacing w:after="0"/>
        <w:rPr>
          <w:rFonts w:asciiTheme="minorHAnsi" w:hAnsiTheme="minorHAnsi" w:cstheme="minorHAnsi"/>
        </w:rPr>
      </w:pPr>
      <w:r w:rsidRPr="00930C97">
        <w:rPr>
          <w:rFonts w:asciiTheme="minorHAnsi" w:hAnsiTheme="minorHAnsi" w:cstheme="minorHAnsi"/>
        </w:rPr>
        <w:t>Upon closure or relocation of a pharmacy, all signage indicating that the premise was a pharmacy department must be immediately removed.</w:t>
      </w:r>
    </w:p>
    <w:p w14:paraId="614D807F" w14:textId="77777777" w:rsidR="003226F4" w:rsidRDefault="003226F4" w:rsidP="00930C97">
      <w:pPr>
        <w:spacing w:after="0"/>
        <w:rPr>
          <w:rFonts w:asciiTheme="minorHAnsi" w:hAnsiTheme="minorHAnsi" w:cstheme="minorHAnsi"/>
        </w:rPr>
      </w:pPr>
    </w:p>
    <w:p w14:paraId="754774A1" w14:textId="77777777" w:rsidR="00132D41" w:rsidRDefault="00132D41" w:rsidP="00930C97">
      <w:pPr>
        <w:spacing w:after="0"/>
        <w:rPr>
          <w:rFonts w:asciiTheme="minorHAnsi" w:hAnsiTheme="minorHAnsi" w:cstheme="minorHAnsi"/>
        </w:rPr>
      </w:pPr>
    </w:p>
    <w:p w14:paraId="5152454A" w14:textId="77777777" w:rsidR="00563AA2" w:rsidRDefault="00563AA2" w:rsidP="00930C97">
      <w:pPr>
        <w:spacing w:after="0"/>
        <w:rPr>
          <w:rFonts w:asciiTheme="minorHAnsi" w:hAnsiTheme="minorHAnsi" w:cstheme="minorHAnsi"/>
        </w:rPr>
      </w:pPr>
    </w:p>
    <w:p w14:paraId="5C390B03" w14:textId="77777777" w:rsidR="003226F4" w:rsidRDefault="003226F4" w:rsidP="003226F4">
      <w:pPr>
        <w:pStyle w:val="Heading1"/>
      </w:pPr>
      <w:bookmarkStart w:id="6" w:name="_Toc89071552"/>
      <w:r>
        <w:lastRenderedPageBreak/>
        <w:t>Security</w:t>
      </w:r>
      <w:bookmarkEnd w:id="6"/>
    </w:p>
    <w:p w14:paraId="136857D8" w14:textId="77777777" w:rsidR="003226F4" w:rsidRDefault="003226F4" w:rsidP="003226F4">
      <w:pPr>
        <w:pStyle w:val="Heading2"/>
      </w:pPr>
      <w:bookmarkStart w:id="7" w:name="_Toc89071553"/>
      <w:r>
        <w:t>Physical Security</w:t>
      </w:r>
      <w:bookmarkEnd w:id="7"/>
    </w:p>
    <w:p w14:paraId="24FEC692"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The pharmacy department must be constructed to prevent unauthorised access through walls, doors, windows and ceilings.</w:t>
      </w:r>
    </w:p>
    <w:p w14:paraId="5D14A55B" w14:textId="77777777" w:rsidR="003226F4" w:rsidRPr="003226F4" w:rsidRDefault="003226F4" w:rsidP="003226F4">
      <w:pPr>
        <w:spacing w:after="0"/>
        <w:jc w:val="both"/>
        <w:rPr>
          <w:rFonts w:asciiTheme="minorHAnsi" w:hAnsiTheme="minorHAnsi" w:cstheme="minorHAnsi"/>
        </w:rPr>
      </w:pPr>
    </w:p>
    <w:p w14:paraId="7C18777C"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 xml:space="preserve">External walls of the pharmacy department should be of solid construction to ensure they cannot be breached.  Stand-alone pharmacy departments and pharmacy departments located with outside walls to buildings must be constructed to avoid intentional breaches. </w:t>
      </w:r>
    </w:p>
    <w:p w14:paraId="51ACD1AC" w14:textId="77777777" w:rsidR="003226F4" w:rsidRPr="003226F4" w:rsidRDefault="003226F4" w:rsidP="003226F4">
      <w:pPr>
        <w:spacing w:after="0"/>
        <w:jc w:val="both"/>
        <w:rPr>
          <w:rFonts w:asciiTheme="minorHAnsi" w:hAnsiTheme="minorHAnsi" w:cstheme="minorHAnsi"/>
        </w:rPr>
      </w:pPr>
    </w:p>
    <w:p w14:paraId="6DF4969D"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It is recommended that the ceiling spaces above pharmacies are secured to ensure the crawl spaces cannot be accessed from adjoining areas and that walls are continued to the roof line/next floor level or security grills are installed to cordon off the ceiling space.</w:t>
      </w:r>
    </w:p>
    <w:p w14:paraId="5B42EAC9" w14:textId="77777777" w:rsidR="003226F4" w:rsidRPr="003226F4" w:rsidRDefault="003226F4" w:rsidP="003226F4">
      <w:pPr>
        <w:spacing w:after="0"/>
        <w:jc w:val="both"/>
        <w:rPr>
          <w:rFonts w:asciiTheme="minorHAnsi" w:hAnsiTheme="minorHAnsi" w:cstheme="minorHAnsi"/>
        </w:rPr>
      </w:pPr>
    </w:p>
    <w:p w14:paraId="313614A3"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External doors should be constructed of a solid core.  Where this is not possible heavy gauge roller door or security grill may be used in addition to a lockable door.</w:t>
      </w:r>
    </w:p>
    <w:p w14:paraId="02C26F1C" w14:textId="77777777" w:rsidR="003226F4" w:rsidRPr="003226F4" w:rsidRDefault="003226F4" w:rsidP="003226F4">
      <w:pPr>
        <w:spacing w:after="0"/>
        <w:jc w:val="both"/>
        <w:rPr>
          <w:rFonts w:asciiTheme="minorHAnsi" w:hAnsiTheme="minorHAnsi" w:cstheme="minorHAnsi"/>
        </w:rPr>
      </w:pPr>
    </w:p>
    <w:p w14:paraId="782D39FE"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All other external entry points, including windows and skylights, must be lockable with additional security grills or roller doors.  High security glass providing an equivalent level of security as a security grill or roller door will be accepted.</w:t>
      </w:r>
      <w:r w:rsidRPr="003226F4" w:rsidDel="000B6989">
        <w:rPr>
          <w:rFonts w:asciiTheme="minorHAnsi" w:hAnsiTheme="minorHAnsi" w:cstheme="minorHAnsi"/>
        </w:rPr>
        <w:t xml:space="preserve"> </w:t>
      </w:r>
    </w:p>
    <w:p w14:paraId="7A16C7A6" w14:textId="77777777" w:rsidR="003226F4" w:rsidRPr="003226F4" w:rsidRDefault="003226F4" w:rsidP="003226F4">
      <w:pPr>
        <w:spacing w:after="0"/>
        <w:jc w:val="both"/>
        <w:rPr>
          <w:rFonts w:asciiTheme="minorHAnsi" w:hAnsiTheme="minorHAnsi" w:cstheme="minorHAnsi"/>
        </w:rPr>
      </w:pPr>
    </w:p>
    <w:p w14:paraId="56F61E52"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It is recommended that external bollards are considered if the pharmacy is at high risk of ram raid.</w:t>
      </w:r>
      <w:r w:rsidRPr="003226F4" w:rsidDel="000B6989">
        <w:rPr>
          <w:rFonts w:asciiTheme="minorHAnsi" w:hAnsiTheme="minorHAnsi" w:cstheme="minorHAnsi"/>
        </w:rPr>
        <w:t xml:space="preserve"> </w:t>
      </w:r>
    </w:p>
    <w:p w14:paraId="3AF602BC" w14:textId="77777777" w:rsidR="003226F4" w:rsidRDefault="003226F4" w:rsidP="003226F4">
      <w:pPr>
        <w:pStyle w:val="Heading2"/>
      </w:pPr>
      <w:bookmarkStart w:id="8" w:name="_Toc89071554"/>
      <w:r>
        <w:t>Alarm Systems</w:t>
      </w:r>
      <w:bookmarkEnd w:id="8"/>
    </w:p>
    <w:p w14:paraId="0AD3C310"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 xml:space="preserve">Pharmacies must be protected by a back to base electronic alarm which meets Australian Standards.  Alarm detectors should cover the entire pharmacy department space.  Where this is not possible, priority should be given to areas that store scheduled medicines.  The alarm system must undergo regular testing and be monitored by appropriate personnel on a </w:t>
      </w:r>
      <w:proofErr w:type="gramStart"/>
      <w:r w:rsidRPr="003226F4">
        <w:rPr>
          <w:rFonts w:asciiTheme="minorHAnsi" w:hAnsiTheme="minorHAnsi" w:cstheme="minorHAnsi"/>
        </w:rPr>
        <w:t>24 hour</w:t>
      </w:r>
      <w:proofErr w:type="gramEnd"/>
      <w:r w:rsidRPr="003226F4">
        <w:rPr>
          <w:rFonts w:asciiTheme="minorHAnsi" w:hAnsiTheme="minorHAnsi" w:cstheme="minorHAnsi"/>
        </w:rPr>
        <w:t xml:space="preserve"> basis.  </w:t>
      </w:r>
    </w:p>
    <w:p w14:paraId="78EEEB57" w14:textId="77777777" w:rsidR="003226F4" w:rsidRPr="003226F4" w:rsidRDefault="003226F4" w:rsidP="003226F4">
      <w:pPr>
        <w:spacing w:after="0"/>
        <w:jc w:val="both"/>
        <w:rPr>
          <w:rFonts w:asciiTheme="minorHAnsi" w:hAnsiTheme="minorHAnsi" w:cstheme="minorHAnsi"/>
        </w:rPr>
      </w:pPr>
    </w:p>
    <w:p w14:paraId="00C76118" w14:textId="77777777" w:rsidR="003226F4" w:rsidRPr="003226F4" w:rsidRDefault="003226F4" w:rsidP="003226F4">
      <w:pPr>
        <w:spacing w:after="0"/>
        <w:jc w:val="both"/>
        <w:rPr>
          <w:rFonts w:asciiTheme="minorHAnsi" w:hAnsiTheme="minorHAnsi" w:cstheme="minorHAnsi"/>
        </w:rPr>
      </w:pPr>
      <w:r w:rsidRPr="003226F4">
        <w:rPr>
          <w:rFonts w:asciiTheme="minorHAnsi" w:hAnsiTheme="minorHAnsi" w:cstheme="minorHAnsi"/>
        </w:rPr>
        <w:t xml:space="preserve">The ability to arm/disarm the pharmacy department alarm must only be known by the pharmacist.  </w:t>
      </w:r>
    </w:p>
    <w:p w14:paraId="7BE48C30" w14:textId="77777777" w:rsidR="003226F4" w:rsidRPr="003226F4" w:rsidRDefault="003226F4" w:rsidP="003226F4">
      <w:pPr>
        <w:spacing w:after="0"/>
        <w:jc w:val="both"/>
        <w:rPr>
          <w:rFonts w:asciiTheme="minorHAnsi" w:hAnsiTheme="minorHAnsi" w:cstheme="minorHAnsi"/>
        </w:rPr>
      </w:pPr>
    </w:p>
    <w:p w14:paraId="09E30FAB" w14:textId="77777777" w:rsidR="003226F4" w:rsidRDefault="003226F4" w:rsidP="00563AA2">
      <w:pPr>
        <w:spacing w:after="0"/>
        <w:jc w:val="both"/>
        <w:rPr>
          <w:rFonts w:asciiTheme="minorHAnsi" w:hAnsiTheme="minorHAnsi" w:cstheme="minorHAnsi"/>
        </w:rPr>
      </w:pPr>
      <w:r w:rsidRPr="003226F4">
        <w:rPr>
          <w:rFonts w:asciiTheme="minorHAnsi" w:hAnsiTheme="minorHAnsi" w:cstheme="minorHAnsi"/>
        </w:rPr>
        <w:t>Duress alarms are also recommended.</w:t>
      </w:r>
    </w:p>
    <w:p w14:paraId="66DCC64C" w14:textId="77777777" w:rsidR="00563AA2" w:rsidRDefault="00563AA2" w:rsidP="00563AA2">
      <w:pPr>
        <w:spacing w:after="0"/>
        <w:jc w:val="both"/>
        <w:rPr>
          <w:rFonts w:asciiTheme="minorHAnsi" w:hAnsiTheme="minorHAnsi" w:cstheme="minorHAnsi"/>
        </w:rPr>
      </w:pPr>
    </w:p>
    <w:p w14:paraId="3EB02DC6" w14:textId="77777777" w:rsidR="003226F4" w:rsidRDefault="003226F4" w:rsidP="003226F4">
      <w:pPr>
        <w:spacing w:after="0"/>
        <w:jc w:val="both"/>
        <w:rPr>
          <w:rFonts w:asciiTheme="minorHAnsi" w:hAnsiTheme="minorHAnsi" w:cstheme="minorHAnsi"/>
        </w:rPr>
      </w:pPr>
    </w:p>
    <w:p w14:paraId="07D8C872" w14:textId="77777777" w:rsidR="003226F4" w:rsidRDefault="003226F4" w:rsidP="00563AA2">
      <w:pPr>
        <w:pStyle w:val="Heading1"/>
        <w:spacing w:before="0"/>
      </w:pPr>
      <w:bookmarkStart w:id="9" w:name="_Toc89071555"/>
      <w:r>
        <w:t>Pharmacy Access</w:t>
      </w:r>
      <w:bookmarkEnd w:id="9"/>
    </w:p>
    <w:p w14:paraId="228E63C8" w14:textId="77777777" w:rsidR="004A5093" w:rsidRPr="004A5093" w:rsidRDefault="004A5093" w:rsidP="004A5093">
      <w:pPr>
        <w:spacing w:after="0"/>
        <w:jc w:val="both"/>
        <w:rPr>
          <w:rFonts w:asciiTheme="minorHAnsi" w:hAnsiTheme="minorHAnsi" w:cs="Arial"/>
        </w:rPr>
      </w:pPr>
      <w:r w:rsidRPr="004A5093">
        <w:rPr>
          <w:rFonts w:asciiTheme="minorHAnsi" w:hAnsiTheme="minorHAnsi" w:cs="Arial"/>
        </w:rPr>
        <w:t>The pharmacy department must allow public access through at least one doorway or servery window.</w:t>
      </w:r>
    </w:p>
    <w:p w14:paraId="4B96A322" w14:textId="77777777" w:rsidR="004A5093" w:rsidRPr="004A5093" w:rsidRDefault="004A5093" w:rsidP="004A5093">
      <w:pPr>
        <w:spacing w:after="0"/>
        <w:jc w:val="both"/>
        <w:rPr>
          <w:rFonts w:asciiTheme="minorHAnsi" w:hAnsiTheme="minorHAnsi" w:cs="Arial"/>
        </w:rPr>
      </w:pPr>
      <w:r w:rsidRPr="004A5093">
        <w:rPr>
          <w:rFonts w:asciiTheme="minorHAnsi" w:hAnsiTheme="minorHAnsi" w:cs="Arial"/>
        </w:rPr>
        <w:t>In addition:</w:t>
      </w:r>
    </w:p>
    <w:p w14:paraId="6CFD2105" w14:textId="77777777" w:rsidR="004A5093" w:rsidRPr="004A5093" w:rsidRDefault="004A5093" w:rsidP="000F5DE6">
      <w:pPr>
        <w:pStyle w:val="ListParagraph"/>
        <w:numPr>
          <w:ilvl w:val="0"/>
          <w:numId w:val="30"/>
        </w:numPr>
        <w:spacing w:before="240" w:after="0"/>
        <w:ind w:right="6"/>
        <w:contextualSpacing/>
        <w:jc w:val="both"/>
        <w:rPr>
          <w:rFonts w:asciiTheme="minorHAnsi" w:hAnsiTheme="minorHAnsi" w:cs="Arial"/>
          <w:lang w:eastAsia="en-AU"/>
        </w:rPr>
      </w:pPr>
      <w:r w:rsidRPr="004A5093">
        <w:rPr>
          <w:rFonts w:asciiTheme="minorHAnsi" w:hAnsiTheme="minorHAnsi" w:cs="Arial"/>
          <w:lang w:eastAsia="en-AU"/>
        </w:rPr>
        <w:t xml:space="preserve">The pharmacy department must </w:t>
      </w:r>
      <w:proofErr w:type="gramStart"/>
      <w:r w:rsidRPr="004A5093">
        <w:rPr>
          <w:rFonts w:asciiTheme="minorHAnsi" w:hAnsiTheme="minorHAnsi" w:cs="Arial"/>
          <w:lang w:eastAsia="en-AU"/>
        </w:rPr>
        <w:t>be under the direct supervision of a pharmacist at all times</w:t>
      </w:r>
      <w:proofErr w:type="gramEnd"/>
      <w:r w:rsidRPr="004A5093">
        <w:rPr>
          <w:rFonts w:asciiTheme="minorHAnsi" w:hAnsiTheme="minorHAnsi" w:cs="Arial"/>
          <w:lang w:eastAsia="en-AU"/>
        </w:rPr>
        <w:t xml:space="preserve"> while it is open to the public.</w:t>
      </w:r>
    </w:p>
    <w:p w14:paraId="45E8BC92" w14:textId="320E3682" w:rsidR="004A5093" w:rsidRPr="004A5093" w:rsidRDefault="004A5093" w:rsidP="000F5DE6">
      <w:pPr>
        <w:pStyle w:val="ListParagraph"/>
        <w:numPr>
          <w:ilvl w:val="0"/>
          <w:numId w:val="30"/>
        </w:numPr>
        <w:spacing w:before="240" w:after="0"/>
        <w:contextualSpacing/>
        <w:jc w:val="both"/>
        <w:rPr>
          <w:rFonts w:asciiTheme="minorHAnsi" w:hAnsiTheme="minorHAnsi" w:cs="Arial"/>
          <w:b/>
          <w:lang w:eastAsia="en-AU"/>
        </w:rPr>
      </w:pPr>
      <w:r w:rsidRPr="004A5093">
        <w:rPr>
          <w:rFonts w:asciiTheme="minorHAnsi" w:hAnsiTheme="minorHAnsi"/>
          <w:lang w:eastAsia="en-AU"/>
        </w:rPr>
        <w:t xml:space="preserve">The principal key holder must either be the </w:t>
      </w:r>
      <w:r w:rsidR="00A14484">
        <w:rPr>
          <w:rFonts w:asciiTheme="minorHAnsi" w:hAnsiTheme="minorHAnsi"/>
          <w:lang w:eastAsia="en-AU"/>
        </w:rPr>
        <w:t>D</w:t>
      </w:r>
      <w:r w:rsidR="00A14484" w:rsidRPr="004A5093">
        <w:rPr>
          <w:rFonts w:asciiTheme="minorHAnsi" w:hAnsiTheme="minorHAnsi"/>
          <w:lang w:eastAsia="en-AU"/>
        </w:rPr>
        <w:t>irector</w:t>
      </w:r>
      <w:r w:rsidR="00A14484">
        <w:rPr>
          <w:rFonts w:asciiTheme="minorHAnsi" w:hAnsiTheme="minorHAnsi"/>
          <w:lang w:eastAsia="en-AU"/>
        </w:rPr>
        <w:t xml:space="preserve"> of Pharmacy</w:t>
      </w:r>
      <w:r w:rsidRPr="004A5093">
        <w:rPr>
          <w:rFonts w:asciiTheme="minorHAnsi" w:hAnsiTheme="minorHAnsi"/>
          <w:lang w:eastAsia="en-AU"/>
        </w:rPr>
        <w:t xml:space="preserve">, </w:t>
      </w:r>
      <w:r w:rsidR="00A14484">
        <w:rPr>
          <w:rFonts w:asciiTheme="minorHAnsi" w:hAnsiTheme="minorHAnsi"/>
          <w:lang w:eastAsia="en-AU"/>
        </w:rPr>
        <w:t>P</w:t>
      </w:r>
      <w:r w:rsidR="00A14484" w:rsidRPr="004A5093">
        <w:rPr>
          <w:rFonts w:asciiTheme="minorHAnsi" w:hAnsiTheme="minorHAnsi"/>
          <w:lang w:eastAsia="en-AU"/>
        </w:rPr>
        <w:t xml:space="preserve">harmacy </w:t>
      </w:r>
      <w:r w:rsidR="00A14484">
        <w:rPr>
          <w:rFonts w:asciiTheme="minorHAnsi" w:hAnsiTheme="minorHAnsi"/>
          <w:lang w:eastAsia="en-AU"/>
        </w:rPr>
        <w:t>M</w:t>
      </w:r>
      <w:r w:rsidR="00A14484" w:rsidRPr="004A5093">
        <w:rPr>
          <w:rFonts w:asciiTheme="minorHAnsi" w:hAnsiTheme="minorHAnsi"/>
          <w:lang w:eastAsia="en-AU"/>
        </w:rPr>
        <w:t xml:space="preserve">anager </w:t>
      </w:r>
      <w:r w:rsidRPr="004A5093">
        <w:rPr>
          <w:rFonts w:asciiTheme="minorHAnsi" w:hAnsiTheme="minorHAnsi"/>
          <w:lang w:eastAsia="en-AU"/>
        </w:rPr>
        <w:t>or pharmacist-in-charge of a pharmacy department who can then nominate other key holders.</w:t>
      </w:r>
    </w:p>
    <w:p w14:paraId="0C96FB58" w14:textId="77777777" w:rsidR="004A5093" w:rsidRPr="004A5093" w:rsidRDefault="004A5093" w:rsidP="000F5DE6">
      <w:pPr>
        <w:pStyle w:val="ListParagraph"/>
        <w:numPr>
          <w:ilvl w:val="0"/>
          <w:numId w:val="30"/>
        </w:numPr>
        <w:spacing w:before="240" w:after="0"/>
        <w:contextualSpacing/>
        <w:jc w:val="both"/>
        <w:rPr>
          <w:rFonts w:asciiTheme="minorHAnsi" w:hAnsiTheme="minorHAnsi"/>
          <w:lang w:eastAsia="en-AU"/>
        </w:rPr>
      </w:pPr>
      <w:r w:rsidRPr="004A5093">
        <w:rPr>
          <w:rFonts w:asciiTheme="minorHAnsi" w:hAnsiTheme="minorHAnsi"/>
          <w:lang w:eastAsia="en-AU"/>
        </w:rPr>
        <w:t>The principal key holder must keep a register or have access to a register of all keys.</w:t>
      </w:r>
    </w:p>
    <w:p w14:paraId="17350B54" w14:textId="4CD58442" w:rsidR="004A5093" w:rsidRPr="004A5093" w:rsidRDefault="004A5093" w:rsidP="000F5DE6">
      <w:pPr>
        <w:pStyle w:val="ListParagraph"/>
        <w:numPr>
          <w:ilvl w:val="0"/>
          <w:numId w:val="30"/>
        </w:numPr>
        <w:spacing w:before="240" w:after="0"/>
        <w:contextualSpacing/>
        <w:jc w:val="both"/>
        <w:rPr>
          <w:rFonts w:asciiTheme="minorHAnsi" w:hAnsiTheme="minorHAnsi"/>
          <w:lang w:eastAsia="en-AU"/>
        </w:rPr>
      </w:pPr>
      <w:r w:rsidRPr="004A5093">
        <w:rPr>
          <w:rFonts w:asciiTheme="minorHAnsi" w:hAnsiTheme="minorHAnsi"/>
          <w:lang w:eastAsia="en-AU"/>
        </w:rPr>
        <w:t xml:space="preserve">The premises must be designed in such a manner as to </w:t>
      </w:r>
      <w:r w:rsidR="0046560F">
        <w:rPr>
          <w:rFonts w:asciiTheme="minorHAnsi" w:hAnsiTheme="minorHAnsi"/>
          <w:lang w:eastAsia="en-AU"/>
        </w:rPr>
        <w:t xml:space="preserve">only </w:t>
      </w:r>
      <w:r w:rsidRPr="004A5093">
        <w:rPr>
          <w:rFonts w:asciiTheme="minorHAnsi" w:hAnsiTheme="minorHAnsi"/>
          <w:lang w:eastAsia="en-AU"/>
        </w:rPr>
        <w:t xml:space="preserve">allow </w:t>
      </w:r>
      <w:proofErr w:type="gramStart"/>
      <w:r w:rsidRPr="004A5093">
        <w:rPr>
          <w:rFonts w:asciiTheme="minorHAnsi" w:hAnsiTheme="minorHAnsi"/>
          <w:lang w:eastAsia="en-AU"/>
        </w:rPr>
        <w:t>24 hour</w:t>
      </w:r>
      <w:proofErr w:type="gramEnd"/>
      <w:r w:rsidRPr="004A5093">
        <w:rPr>
          <w:rFonts w:asciiTheme="minorHAnsi" w:hAnsiTheme="minorHAnsi"/>
          <w:lang w:eastAsia="en-AU"/>
        </w:rPr>
        <w:t xml:space="preserve"> access to the pharmacy department by</w:t>
      </w:r>
      <w:r w:rsidR="0046560F">
        <w:rPr>
          <w:rFonts w:asciiTheme="minorHAnsi" w:hAnsiTheme="minorHAnsi"/>
          <w:lang w:eastAsia="en-AU"/>
        </w:rPr>
        <w:t xml:space="preserve"> </w:t>
      </w:r>
      <w:r w:rsidR="00E52E67">
        <w:rPr>
          <w:rFonts w:asciiTheme="minorHAnsi" w:hAnsiTheme="minorHAnsi"/>
          <w:lang w:eastAsia="en-AU"/>
        </w:rPr>
        <w:t>pharmacist</w:t>
      </w:r>
      <w:r w:rsidR="0046560F">
        <w:rPr>
          <w:rFonts w:asciiTheme="minorHAnsi" w:hAnsiTheme="minorHAnsi"/>
          <w:lang w:eastAsia="en-AU"/>
        </w:rPr>
        <w:t>s</w:t>
      </w:r>
      <w:r w:rsidRPr="004A5093">
        <w:rPr>
          <w:rFonts w:asciiTheme="minorHAnsi" w:hAnsiTheme="minorHAnsi"/>
          <w:lang w:eastAsia="en-AU"/>
        </w:rPr>
        <w:t>.</w:t>
      </w:r>
    </w:p>
    <w:p w14:paraId="69005D5F" w14:textId="77777777" w:rsidR="004A5093" w:rsidRPr="004A5093" w:rsidRDefault="004A5093" w:rsidP="004A5093">
      <w:pPr>
        <w:pStyle w:val="ListParagraph"/>
        <w:spacing w:after="0"/>
        <w:ind w:left="426" w:hanging="426"/>
        <w:jc w:val="both"/>
        <w:rPr>
          <w:rFonts w:asciiTheme="minorHAnsi" w:hAnsiTheme="minorHAnsi"/>
          <w:lang w:eastAsia="en-AU"/>
        </w:rPr>
      </w:pPr>
    </w:p>
    <w:p w14:paraId="4E0AE6C5" w14:textId="77777777" w:rsidR="004A5093" w:rsidRPr="004A5093" w:rsidRDefault="004A5093" w:rsidP="004A5093">
      <w:pPr>
        <w:pStyle w:val="ListParagraph"/>
        <w:spacing w:after="0"/>
        <w:jc w:val="both"/>
        <w:rPr>
          <w:rFonts w:asciiTheme="minorHAnsi" w:hAnsiTheme="minorHAnsi"/>
          <w:lang w:eastAsia="en-AU"/>
        </w:rPr>
      </w:pPr>
      <w:r w:rsidRPr="004A5093">
        <w:rPr>
          <w:rFonts w:asciiTheme="minorHAnsi" w:hAnsiTheme="minorHAnsi"/>
          <w:lang w:eastAsia="en-AU"/>
        </w:rPr>
        <w:t>Note: Codes or swipe cards used to access pharmacy departments are considered keys.</w:t>
      </w:r>
    </w:p>
    <w:p w14:paraId="1343E491" w14:textId="77777777" w:rsidR="004A5093" w:rsidRDefault="004A5093" w:rsidP="004A5093">
      <w:pPr>
        <w:pStyle w:val="Heading1"/>
        <w:rPr>
          <w:lang w:eastAsia="en-AU"/>
        </w:rPr>
      </w:pPr>
      <w:bookmarkStart w:id="10" w:name="_Toc89071556"/>
      <w:r>
        <w:rPr>
          <w:lang w:eastAsia="en-AU"/>
        </w:rPr>
        <w:lastRenderedPageBreak/>
        <w:t>Lighting</w:t>
      </w:r>
      <w:bookmarkEnd w:id="10"/>
    </w:p>
    <w:p w14:paraId="2EA44FB7" w14:textId="77777777" w:rsidR="004A5093" w:rsidRPr="005862A3" w:rsidRDefault="004A5093" w:rsidP="004A5093">
      <w:pPr>
        <w:spacing w:after="0"/>
        <w:jc w:val="both"/>
        <w:rPr>
          <w:rFonts w:ascii="Calibri" w:hAnsi="Calibri" w:cs="Arial"/>
          <w:sz w:val="24"/>
          <w:szCs w:val="24"/>
        </w:rPr>
      </w:pPr>
      <w:r w:rsidRPr="005862A3">
        <w:rPr>
          <w:rFonts w:ascii="Calibri" w:hAnsi="Calibri" w:cs="Arial"/>
          <w:sz w:val="24"/>
          <w:szCs w:val="24"/>
        </w:rPr>
        <w:t>All working areas used for the selection, preparation and supply of medicines must have adequate lighting in the range of 320 to 400 Lux.</w:t>
      </w:r>
    </w:p>
    <w:p w14:paraId="7092EC6E" w14:textId="77777777" w:rsidR="004A5093" w:rsidRPr="005862A3" w:rsidRDefault="004A5093" w:rsidP="004A5093">
      <w:pPr>
        <w:spacing w:after="0"/>
        <w:jc w:val="both"/>
        <w:rPr>
          <w:rFonts w:ascii="Calibri" w:hAnsi="Calibri" w:cs="Arial"/>
          <w:sz w:val="12"/>
          <w:szCs w:val="12"/>
        </w:rPr>
      </w:pPr>
    </w:p>
    <w:p w14:paraId="4F8526B4" w14:textId="77777777" w:rsidR="004A5093" w:rsidRDefault="004A5093" w:rsidP="00563AA2">
      <w:pPr>
        <w:spacing w:after="0"/>
        <w:jc w:val="both"/>
        <w:rPr>
          <w:rFonts w:ascii="Calibri" w:hAnsi="Calibri" w:cs="Arial"/>
          <w:sz w:val="24"/>
          <w:szCs w:val="24"/>
        </w:rPr>
      </w:pPr>
      <w:r w:rsidRPr="005862A3">
        <w:rPr>
          <w:rFonts w:ascii="Calibri" w:hAnsi="Calibri" w:cs="Arial"/>
          <w:sz w:val="24"/>
          <w:szCs w:val="24"/>
        </w:rPr>
        <w:t>Undue exposure of medicines to direct sunlight, or ultraviolet light, must be prevented.</w:t>
      </w:r>
    </w:p>
    <w:p w14:paraId="422AB336" w14:textId="77777777" w:rsidR="004A5093" w:rsidRDefault="004A5093" w:rsidP="00563AA2">
      <w:pPr>
        <w:spacing w:after="0"/>
        <w:rPr>
          <w:lang w:eastAsia="en-AU"/>
        </w:rPr>
      </w:pPr>
    </w:p>
    <w:p w14:paraId="7B2A0710" w14:textId="77777777" w:rsidR="00563AA2" w:rsidRDefault="00563AA2" w:rsidP="00563AA2">
      <w:pPr>
        <w:spacing w:after="0"/>
        <w:rPr>
          <w:lang w:eastAsia="en-AU"/>
        </w:rPr>
      </w:pPr>
    </w:p>
    <w:p w14:paraId="165DF8F6" w14:textId="77777777" w:rsidR="004A5093" w:rsidRDefault="004A5093" w:rsidP="00563AA2">
      <w:pPr>
        <w:pStyle w:val="Heading1"/>
        <w:spacing w:before="0"/>
        <w:rPr>
          <w:lang w:eastAsia="en-AU"/>
        </w:rPr>
      </w:pPr>
      <w:bookmarkStart w:id="11" w:name="_Toc89071557"/>
      <w:r>
        <w:rPr>
          <w:lang w:eastAsia="en-AU"/>
        </w:rPr>
        <w:t>Temperature Control</w:t>
      </w:r>
      <w:bookmarkEnd w:id="11"/>
    </w:p>
    <w:p w14:paraId="2E24AA7E" w14:textId="77777777" w:rsidR="004A5093" w:rsidRPr="004A5093" w:rsidRDefault="004A5093" w:rsidP="004A5093">
      <w:pPr>
        <w:spacing w:after="0"/>
        <w:jc w:val="both"/>
        <w:rPr>
          <w:rFonts w:cstheme="minorHAnsi"/>
        </w:rPr>
      </w:pPr>
      <w:r w:rsidRPr="004A5093">
        <w:rPr>
          <w:rFonts w:cstheme="minorHAnsi"/>
        </w:rPr>
        <w:t xml:space="preserve">The pharmacy department must have the facility to ensure that recommended storage conditions for medicines are </w:t>
      </w:r>
      <w:proofErr w:type="gramStart"/>
      <w:r w:rsidRPr="004A5093">
        <w:rPr>
          <w:rFonts w:cstheme="minorHAnsi"/>
        </w:rPr>
        <w:t>maintained at all times</w:t>
      </w:r>
      <w:proofErr w:type="gramEnd"/>
      <w:r w:rsidRPr="004A5093">
        <w:rPr>
          <w:rFonts w:cstheme="minorHAnsi"/>
        </w:rPr>
        <w:t xml:space="preserve">.  For room temperature stable medicines, temperatures must not exceed 25°C.  Where </w:t>
      </w:r>
      <w:proofErr w:type="gramStart"/>
      <w:r w:rsidRPr="004A5093">
        <w:rPr>
          <w:rFonts w:cstheme="minorHAnsi"/>
        </w:rPr>
        <w:t>24 hour</w:t>
      </w:r>
      <w:proofErr w:type="gramEnd"/>
      <w:r w:rsidRPr="004A5093">
        <w:rPr>
          <w:rFonts w:cstheme="minorHAnsi"/>
        </w:rPr>
        <w:t xml:space="preserve"> temperature control is not possible, the pharmacy must have a documented process to monitor and evaluate temperatures to ensure stock viability.  The use of data loggers or minimum/maximum recording thermometers with appropriate documentation, are considered acceptable methods of monitoring temperatures.</w:t>
      </w:r>
    </w:p>
    <w:p w14:paraId="4FAD754B" w14:textId="77777777" w:rsidR="004A5093" w:rsidRPr="004A5093" w:rsidRDefault="004A5093" w:rsidP="004A5093">
      <w:pPr>
        <w:spacing w:after="0"/>
        <w:jc w:val="both"/>
        <w:rPr>
          <w:rFonts w:cstheme="minorHAnsi"/>
        </w:rPr>
      </w:pPr>
    </w:p>
    <w:p w14:paraId="4C79B010" w14:textId="77777777" w:rsidR="004A5093" w:rsidRPr="004A5093" w:rsidRDefault="004A5093" w:rsidP="004A5093">
      <w:pPr>
        <w:spacing w:after="0"/>
        <w:jc w:val="both"/>
        <w:rPr>
          <w:rFonts w:cstheme="minorHAnsi"/>
        </w:rPr>
      </w:pPr>
      <w:r w:rsidRPr="004A5093">
        <w:rPr>
          <w:rFonts w:cstheme="minorHAnsi"/>
        </w:rPr>
        <w:t xml:space="preserve">The pharmacy must also have the facilities to ensure that temperature conditions are maintained during periods of power outages. A backup generator allowing uninterrupted power supply to critical items is recommended.  </w:t>
      </w:r>
      <w:proofErr w:type="gramStart"/>
      <w:r w:rsidRPr="004A5093">
        <w:rPr>
          <w:rFonts w:cstheme="minorHAnsi"/>
        </w:rPr>
        <w:t>Alternatively</w:t>
      </w:r>
      <w:proofErr w:type="gramEnd"/>
      <w:r w:rsidRPr="004A5093">
        <w:rPr>
          <w:rFonts w:cstheme="minorHAnsi"/>
        </w:rPr>
        <w:t xml:space="preserve"> facilities that allow temperature monitoring and recording can be used to inform evaluation of stock viability after a power interruption.</w:t>
      </w:r>
    </w:p>
    <w:p w14:paraId="73642C47" w14:textId="77777777" w:rsidR="004A5093" w:rsidRPr="004A5093" w:rsidRDefault="004A5093" w:rsidP="004A5093">
      <w:pPr>
        <w:spacing w:after="0"/>
        <w:jc w:val="both"/>
        <w:rPr>
          <w:rFonts w:cstheme="minorHAnsi"/>
        </w:rPr>
      </w:pPr>
    </w:p>
    <w:p w14:paraId="65039128" w14:textId="77777777" w:rsidR="004A5093" w:rsidRPr="004A5093" w:rsidRDefault="004A5093" w:rsidP="004A5093">
      <w:pPr>
        <w:spacing w:after="0"/>
        <w:jc w:val="both"/>
        <w:rPr>
          <w:rFonts w:cstheme="minorHAnsi"/>
        </w:rPr>
      </w:pPr>
      <w:r w:rsidRPr="004A5093">
        <w:rPr>
          <w:rFonts w:cstheme="minorHAnsi"/>
        </w:rPr>
        <w:t xml:space="preserve">It is recommended temperature control systems undergo regular testing and maintenance by a licensed contractor. </w:t>
      </w:r>
    </w:p>
    <w:p w14:paraId="54E4A4FD" w14:textId="77777777" w:rsidR="004A5093" w:rsidRPr="004A5093" w:rsidRDefault="004A5093" w:rsidP="004A5093">
      <w:pPr>
        <w:spacing w:after="0"/>
        <w:jc w:val="both"/>
        <w:rPr>
          <w:rFonts w:cstheme="minorHAnsi"/>
        </w:rPr>
      </w:pPr>
    </w:p>
    <w:p w14:paraId="629A689B" w14:textId="77777777" w:rsidR="004A5093" w:rsidRPr="004A5093" w:rsidRDefault="004A5093" w:rsidP="00563AA2">
      <w:pPr>
        <w:spacing w:after="0"/>
        <w:jc w:val="both"/>
        <w:rPr>
          <w:rFonts w:cstheme="minorHAnsi"/>
        </w:rPr>
      </w:pPr>
      <w:r w:rsidRPr="004A5093">
        <w:rPr>
          <w:rFonts w:cstheme="minorHAnsi"/>
        </w:rPr>
        <w:t>Humidity control may be a consideration to ensure medicines integrity if required.</w:t>
      </w:r>
    </w:p>
    <w:p w14:paraId="58ABF553" w14:textId="77777777" w:rsidR="004A5093" w:rsidRDefault="004A5093" w:rsidP="00563AA2">
      <w:pPr>
        <w:spacing w:after="0"/>
        <w:rPr>
          <w:lang w:eastAsia="en-AU"/>
        </w:rPr>
      </w:pPr>
    </w:p>
    <w:p w14:paraId="57EF4406" w14:textId="77777777" w:rsidR="00563AA2" w:rsidRPr="004A5093" w:rsidRDefault="00563AA2" w:rsidP="00563AA2">
      <w:pPr>
        <w:spacing w:after="0"/>
        <w:rPr>
          <w:lang w:eastAsia="en-AU"/>
        </w:rPr>
      </w:pPr>
    </w:p>
    <w:p w14:paraId="11116FFA" w14:textId="77777777" w:rsidR="003226F4" w:rsidRDefault="004A5093" w:rsidP="00563AA2">
      <w:pPr>
        <w:pStyle w:val="Heading1"/>
        <w:spacing w:before="0"/>
      </w:pPr>
      <w:bookmarkStart w:id="12" w:name="_Toc89071558"/>
      <w:r>
        <w:t>Pharmacy Department</w:t>
      </w:r>
      <w:bookmarkEnd w:id="12"/>
    </w:p>
    <w:p w14:paraId="65017C78" w14:textId="77777777" w:rsidR="004A5093" w:rsidRPr="004A5093" w:rsidRDefault="004A5093" w:rsidP="009E003C">
      <w:pPr>
        <w:jc w:val="both"/>
        <w:rPr>
          <w:rFonts w:cstheme="minorHAnsi"/>
        </w:rPr>
      </w:pPr>
      <w:r w:rsidRPr="004A5093">
        <w:rPr>
          <w:rFonts w:cstheme="minorHAnsi"/>
        </w:rPr>
        <w:t>The area of the pharmacy department needs to be appropriate for the service delivery requirements.  The minimum area of the pharmacy department must be as follows:</w:t>
      </w:r>
    </w:p>
    <w:p w14:paraId="0510FFB5" w14:textId="77777777" w:rsidR="004A5093" w:rsidRPr="004A5093" w:rsidRDefault="004A5093" w:rsidP="000F5DE6">
      <w:pPr>
        <w:pStyle w:val="ListParagraph"/>
        <w:numPr>
          <w:ilvl w:val="0"/>
          <w:numId w:val="29"/>
        </w:numPr>
        <w:spacing w:after="0"/>
        <w:contextualSpacing/>
        <w:jc w:val="both"/>
        <w:rPr>
          <w:rFonts w:cstheme="minorHAnsi"/>
        </w:rPr>
      </w:pPr>
      <w:r w:rsidRPr="004A5093">
        <w:rPr>
          <w:rFonts w:cstheme="minorHAnsi"/>
        </w:rPr>
        <w:t xml:space="preserve">Level 1 &amp; 2: </w:t>
      </w:r>
      <w:proofErr w:type="gramStart"/>
      <w:r w:rsidRPr="004A5093">
        <w:rPr>
          <w:rFonts w:cstheme="minorHAnsi"/>
        </w:rPr>
        <w:tab/>
        <w:t xml:space="preserve">  n</w:t>
      </w:r>
      <w:proofErr w:type="gramEnd"/>
      <w:r w:rsidRPr="004A5093">
        <w:rPr>
          <w:rFonts w:cstheme="minorHAnsi"/>
        </w:rPr>
        <w:t>/a</w:t>
      </w:r>
    </w:p>
    <w:p w14:paraId="782E7CBF" w14:textId="77777777" w:rsidR="004A5093" w:rsidRPr="004A5093" w:rsidRDefault="004A5093" w:rsidP="000F5DE6">
      <w:pPr>
        <w:pStyle w:val="ListParagraph"/>
        <w:numPr>
          <w:ilvl w:val="0"/>
          <w:numId w:val="29"/>
        </w:numPr>
        <w:spacing w:after="0"/>
        <w:contextualSpacing/>
        <w:jc w:val="both"/>
        <w:rPr>
          <w:rFonts w:cstheme="minorHAnsi"/>
        </w:rPr>
      </w:pPr>
      <w:r w:rsidRPr="004A5093">
        <w:rPr>
          <w:rFonts w:cstheme="minorHAnsi"/>
        </w:rPr>
        <w:t xml:space="preserve">Level 3: </w:t>
      </w:r>
      <w:r w:rsidRPr="004A5093">
        <w:rPr>
          <w:rFonts w:cstheme="minorHAnsi"/>
        </w:rPr>
        <w:tab/>
      </w:r>
      <w:proofErr w:type="gramStart"/>
      <w:r w:rsidRPr="004A5093">
        <w:rPr>
          <w:rFonts w:cstheme="minorHAnsi"/>
        </w:rPr>
        <w:tab/>
        <w:t xml:space="preserve">  45</w:t>
      </w:r>
      <w:proofErr w:type="gramEnd"/>
      <w:r w:rsidRPr="004A5093">
        <w:rPr>
          <w:rFonts w:cstheme="minorHAnsi"/>
        </w:rPr>
        <w:t>m</w:t>
      </w:r>
      <w:r w:rsidRPr="004A5093">
        <w:rPr>
          <w:rFonts w:cstheme="minorHAnsi"/>
          <w:vertAlign w:val="superscript"/>
        </w:rPr>
        <w:t>2</w:t>
      </w:r>
    </w:p>
    <w:p w14:paraId="2A749BDB" w14:textId="77777777" w:rsidR="004A5093" w:rsidRPr="004A5093" w:rsidRDefault="004A5093" w:rsidP="000F5DE6">
      <w:pPr>
        <w:pStyle w:val="ListParagraph"/>
        <w:numPr>
          <w:ilvl w:val="0"/>
          <w:numId w:val="29"/>
        </w:numPr>
        <w:spacing w:after="0"/>
        <w:contextualSpacing/>
        <w:jc w:val="both"/>
        <w:rPr>
          <w:rFonts w:cstheme="minorHAnsi"/>
        </w:rPr>
      </w:pPr>
      <w:r w:rsidRPr="004A5093">
        <w:rPr>
          <w:rFonts w:cstheme="minorHAnsi"/>
        </w:rPr>
        <w:t>Level 4:</w:t>
      </w:r>
      <w:r w:rsidRPr="004A5093">
        <w:rPr>
          <w:rFonts w:cstheme="minorHAnsi"/>
        </w:rPr>
        <w:tab/>
      </w:r>
      <w:proofErr w:type="gramStart"/>
      <w:r w:rsidRPr="004A5093">
        <w:rPr>
          <w:rFonts w:cstheme="minorHAnsi"/>
        </w:rPr>
        <w:tab/>
        <w:t xml:space="preserve">  85</w:t>
      </w:r>
      <w:proofErr w:type="gramEnd"/>
      <w:r w:rsidRPr="004A5093">
        <w:rPr>
          <w:rFonts w:cstheme="minorHAnsi"/>
        </w:rPr>
        <w:t>m</w:t>
      </w:r>
      <w:r w:rsidRPr="004A5093">
        <w:rPr>
          <w:rFonts w:cstheme="minorHAnsi"/>
          <w:vertAlign w:val="superscript"/>
        </w:rPr>
        <w:t>2</w:t>
      </w:r>
    </w:p>
    <w:p w14:paraId="568BECC2" w14:textId="77777777" w:rsidR="004A5093" w:rsidRPr="004A5093" w:rsidRDefault="004A5093" w:rsidP="000F5DE6">
      <w:pPr>
        <w:pStyle w:val="ListParagraph"/>
        <w:numPr>
          <w:ilvl w:val="0"/>
          <w:numId w:val="29"/>
        </w:numPr>
        <w:spacing w:after="0"/>
        <w:contextualSpacing/>
        <w:jc w:val="both"/>
        <w:rPr>
          <w:rFonts w:cstheme="minorHAnsi"/>
        </w:rPr>
      </w:pPr>
      <w:r w:rsidRPr="004A5093">
        <w:rPr>
          <w:rFonts w:cstheme="minorHAnsi"/>
        </w:rPr>
        <w:t>Level 5 &amp; 6:</w:t>
      </w:r>
      <w:r w:rsidRPr="004A5093">
        <w:rPr>
          <w:rFonts w:cstheme="minorHAnsi"/>
        </w:rPr>
        <w:tab/>
        <w:t>180m</w:t>
      </w:r>
      <w:r w:rsidRPr="004A5093">
        <w:rPr>
          <w:rFonts w:cstheme="minorHAnsi"/>
          <w:vertAlign w:val="superscript"/>
        </w:rPr>
        <w:t>2</w:t>
      </w:r>
    </w:p>
    <w:p w14:paraId="5106C443" w14:textId="77777777" w:rsidR="004A5093" w:rsidRPr="004A5093" w:rsidRDefault="004A5093" w:rsidP="004A5093">
      <w:pPr>
        <w:spacing w:after="0"/>
        <w:jc w:val="both"/>
        <w:rPr>
          <w:rFonts w:cstheme="minorHAnsi"/>
        </w:rPr>
      </w:pPr>
    </w:p>
    <w:p w14:paraId="0BA42CDD" w14:textId="77777777" w:rsidR="004A5093" w:rsidRPr="004A5093" w:rsidRDefault="004A5093" w:rsidP="006E0377">
      <w:pPr>
        <w:jc w:val="both"/>
        <w:rPr>
          <w:rFonts w:cstheme="minorHAnsi"/>
        </w:rPr>
      </w:pPr>
      <w:r w:rsidRPr="004A5093">
        <w:rPr>
          <w:rFonts w:cstheme="minorHAnsi"/>
        </w:rPr>
        <w:t>Smaller areas may be considered by individual application to the Committee.</w:t>
      </w:r>
    </w:p>
    <w:p w14:paraId="3459CAB1" w14:textId="77777777" w:rsidR="006E0377" w:rsidRDefault="006E0377" w:rsidP="006E0377">
      <w:pPr>
        <w:pStyle w:val="Heading2"/>
      </w:pPr>
      <w:bookmarkStart w:id="13" w:name="_Toc89071559"/>
      <w:r>
        <w:t>Dispensary</w:t>
      </w:r>
      <w:bookmarkEnd w:id="13"/>
    </w:p>
    <w:p w14:paraId="73C1A8D0" w14:textId="77777777" w:rsidR="006E0377" w:rsidRPr="006E0377" w:rsidRDefault="006E0377" w:rsidP="006E0377">
      <w:pPr>
        <w:spacing w:after="0"/>
        <w:jc w:val="both"/>
        <w:rPr>
          <w:rFonts w:cstheme="minorHAnsi"/>
        </w:rPr>
      </w:pPr>
      <w:r w:rsidRPr="006E0377">
        <w:rPr>
          <w:rFonts w:cstheme="minorHAnsi"/>
        </w:rPr>
        <w:t xml:space="preserve">The dispensary is an area dedicated to the storage/dispensing of medicines and the secure storage of patient records. It should </w:t>
      </w:r>
      <w:proofErr w:type="gramStart"/>
      <w:r w:rsidRPr="006E0377">
        <w:rPr>
          <w:rFonts w:cstheme="minorHAnsi"/>
        </w:rPr>
        <w:t>be located in</w:t>
      </w:r>
      <w:proofErr w:type="gramEnd"/>
      <w:r w:rsidRPr="006E0377">
        <w:rPr>
          <w:rFonts w:cstheme="minorHAnsi"/>
        </w:rPr>
        <w:t xml:space="preserve"> an area of the pharmacy department which allows minimal throughway of personnel not associated with the dispensing process.  Lighting, ventilation, temperature and humidity control are essential to maintain the integrity of medicines. </w:t>
      </w:r>
    </w:p>
    <w:p w14:paraId="67761C76" w14:textId="77777777" w:rsidR="006E0377" w:rsidRDefault="006E0377" w:rsidP="006E0377">
      <w:pPr>
        <w:pStyle w:val="Heading3"/>
      </w:pPr>
      <w:bookmarkStart w:id="14" w:name="_Toc89071560"/>
      <w:r>
        <w:t>Dispending Station(s)</w:t>
      </w:r>
      <w:bookmarkEnd w:id="14"/>
    </w:p>
    <w:p w14:paraId="392EC019" w14:textId="77777777" w:rsidR="009E003C" w:rsidRPr="009E003C" w:rsidRDefault="009E003C" w:rsidP="009E003C">
      <w:pPr>
        <w:spacing w:after="0"/>
        <w:jc w:val="both"/>
        <w:rPr>
          <w:rFonts w:asciiTheme="minorHAnsi" w:hAnsiTheme="minorHAnsi" w:cstheme="minorHAnsi"/>
        </w:rPr>
      </w:pPr>
      <w:r w:rsidRPr="009E003C">
        <w:rPr>
          <w:rFonts w:asciiTheme="minorHAnsi" w:hAnsiTheme="minorHAnsi" w:cstheme="minorHAnsi"/>
        </w:rPr>
        <w:t>The dispensary in a pharmacy department must include at least one dispensing station for each 150 to 200 dispensing events or part thereof dispensed on a typical day.</w:t>
      </w:r>
    </w:p>
    <w:p w14:paraId="518C41C4" w14:textId="77777777" w:rsidR="009E003C" w:rsidRPr="009E003C" w:rsidRDefault="009E003C" w:rsidP="009E003C">
      <w:pPr>
        <w:jc w:val="both"/>
        <w:rPr>
          <w:rFonts w:asciiTheme="minorHAnsi" w:hAnsiTheme="minorHAnsi" w:cstheme="minorHAnsi"/>
        </w:rPr>
      </w:pPr>
      <w:r w:rsidRPr="009E003C">
        <w:rPr>
          <w:rFonts w:asciiTheme="minorHAnsi" w:hAnsiTheme="minorHAnsi" w:cstheme="minorHAnsi"/>
        </w:rPr>
        <w:t>Each dispensing station is to include a dispensing bench area of at least 0.6m</w:t>
      </w:r>
      <w:r w:rsidRPr="009E003C">
        <w:rPr>
          <w:rFonts w:asciiTheme="minorHAnsi" w:hAnsiTheme="minorHAnsi" w:cstheme="minorHAnsi"/>
          <w:vertAlign w:val="superscript"/>
        </w:rPr>
        <w:t>2</w:t>
      </w:r>
      <w:r w:rsidRPr="009E003C">
        <w:rPr>
          <w:rFonts w:asciiTheme="minorHAnsi" w:hAnsiTheme="minorHAnsi" w:cstheme="minorHAnsi"/>
        </w:rPr>
        <w:t xml:space="preserve"> and be equipped with:</w:t>
      </w:r>
    </w:p>
    <w:p w14:paraId="0CC3EF5F" w14:textId="77777777" w:rsidR="009E003C" w:rsidRPr="009E003C" w:rsidRDefault="009E003C" w:rsidP="000F5DE6">
      <w:pPr>
        <w:pStyle w:val="ListParagraph"/>
        <w:numPr>
          <w:ilvl w:val="0"/>
          <w:numId w:val="28"/>
        </w:numPr>
        <w:tabs>
          <w:tab w:val="left" w:pos="426"/>
        </w:tabs>
        <w:spacing w:after="0"/>
        <w:contextualSpacing/>
        <w:jc w:val="both"/>
        <w:rPr>
          <w:rFonts w:asciiTheme="minorHAnsi" w:hAnsiTheme="minorHAnsi" w:cstheme="minorHAnsi"/>
        </w:rPr>
      </w:pPr>
      <w:proofErr w:type="gramStart"/>
      <w:r>
        <w:rPr>
          <w:rFonts w:asciiTheme="minorHAnsi" w:hAnsiTheme="minorHAnsi" w:cstheme="minorHAnsi"/>
        </w:rPr>
        <w:lastRenderedPageBreak/>
        <w:t>S</w:t>
      </w:r>
      <w:r w:rsidRPr="009E003C">
        <w:rPr>
          <w:rFonts w:asciiTheme="minorHAnsi" w:hAnsiTheme="minorHAnsi" w:cstheme="minorHAnsi"/>
        </w:rPr>
        <w:t>creen;</w:t>
      </w:r>
      <w:proofErr w:type="gramEnd"/>
    </w:p>
    <w:p w14:paraId="53C2C9F4" w14:textId="77777777" w:rsidR="009E003C" w:rsidRPr="009E003C" w:rsidRDefault="009E003C" w:rsidP="000F5DE6">
      <w:pPr>
        <w:pStyle w:val="ListParagraph"/>
        <w:numPr>
          <w:ilvl w:val="0"/>
          <w:numId w:val="28"/>
        </w:numPr>
        <w:tabs>
          <w:tab w:val="left" w:pos="426"/>
        </w:tabs>
        <w:spacing w:after="0"/>
        <w:contextualSpacing/>
        <w:jc w:val="both"/>
        <w:rPr>
          <w:rFonts w:asciiTheme="minorHAnsi" w:hAnsiTheme="minorHAnsi" w:cstheme="minorHAnsi"/>
        </w:rPr>
      </w:pPr>
      <w:r>
        <w:rPr>
          <w:rFonts w:asciiTheme="minorHAnsi" w:hAnsiTheme="minorHAnsi" w:cstheme="minorHAnsi"/>
        </w:rPr>
        <w:t>K</w:t>
      </w:r>
      <w:r w:rsidRPr="009E003C">
        <w:rPr>
          <w:rFonts w:asciiTheme="minorHAnsi" w:hAnsiTheme="minorHAnsi" w:cstheme="minorHAnsi"/>
        </w:rPr>
        <w:t xml:space="preserve">eyboard and </w:t>
      </w:r>
      <w:proofErr w:type="gramStart"/>
      <w:r w:rsidRPr="009E003C">
        <w:rPr>
          <w:rFonts w:asciiTheme="minorHAnsi" w:hAnsiTheme="minorHAnsi" w:cstheme="minorHAnsi"/>
        </w:rPr>
        <w:t>mouse;</w:t>
      </w:r>
      <w:proofErr w:type="gramEnd"/>
    </w:p>
    <w:p w14:paraId="72CA898D" w14:textId="77777777" w:rsidR="009E003C" w:rsidRPr="009E003C" w:rsidRDefault="009E003C" w:rsidP="000F5DE6">
      <w:pPr>
        <w:pStyle w:val="ListParagraph"/>
        <w:numPr>
          <w:ilvl w:val="0"/>
          <w:numId w:val="28"/>
        </w:numPr>
        <w:tabs>
          <w:tab w:val="left" w:pos="426"/>
        </w:tabs>
        <w:spacing w:after="0"/>
        <w:contextualSpacing/>
        <w:jc w:val="both"/>
        <w:rPr>
          <w:rFonts w:asciiTheme="minorHAnsi" w:hAnsiTheme="minorHAnsi" w:cstheme="minorHAnsi"/>
        </w:rPr>
      </w:pPr>
      <w:r>
        <w:rPr>
          <w:rFonts w:asciiTheme="minorHAnsi" w:hAnsiTheme="minorHAnsi" w:cstheme="minorHAnsi"/>
        </w:rPr>
        <w:t>C</w:t>
      </w:r>
      <w:r w:rsidRPr="009E003C">
        <w:rPr>
          <w:rFonts w:asciiTheme="minorHAnsi" w:hAnsiTheme="minorHAnsi" w:cstheme="minorHAnsi"/>
        </w:rPr>
        <w:t xml:space="preserve">omputer </w:t>
      </w:r>
      <w:proofErr w:type="gramStart"/>
      <w:r w:rsidRPr="009E003C">
        <w:rPr>
          <w:rFonts w:asciiTheme="minorHAnsi" w:hAnsiTheme="minorHAnsi" w:cstheme="minorHAnsi"/>
        </w:rPr>
        <w:t>processor;</w:t>
      </w:r>
      <w:proofErr w:type="gramEnd"/>
    </w:p>
    <w:p w14:paraId="5F0BE659" w14:textId="77777777" w:rsidR="009E003C" w:rsidRPr="009E003C" w:rsidRDefault="009E003C" w:rsidP="000F5DE6">
      <w:pPr>
        <w:pStyle w:val="ListParagraph"/>
        <w:numPr>
          <w:ilvl w:val="0"/>
          <w:numId w:val="28"/>
        </w:numPr>
        <w:tabs>
          <w:tab w:val="left" w:pos="426"/>
        </w:tabs>
        <w:spacing w:after="0"/>
        <w:contextualSpacing/>
        <w:jc w:val="both"/>
        <w:rPr>
          <w:rFonts w:asciiTheme="minorHAnsi" w:hAnsiTheme="minorHAnsi" w:cstheme="minorHAnsi"/>
        </w:rPr>
      </w:pPr>
      <w:r>
        <w:rPr>
          <w:rFonts w:asciiTheme="minorHAnsi" w:hAnsiTheme="minorHAnsi" w:cstheme="minorHAnsi"/>
        </w:rPr>
        <w:t>D</w:t>
      </w:r>
      <w:r w:rsidRPr="009E003C">
        <w:rPr>
          <w:rFonts w:asciiTheme="minorHAnsi" w:hAnsiTheme="minorHAnsi" w:cstheme="minorHAnsi"/>
        </w:rPr>
        <w:t>edicated scanner; and</w:t>
      </w:r>
    </w:p>
    <w:p w14:paraId="6690D58C" w14:textId="77777777" w:rsidR="009E003C" w:rsidRPr="009E003C" w:rsidRDefault="009E003C" w:rsidP="000F5DE6">
      <w:pPr>
        <w:pStyle w:val="ListParagraph"/>
        <w:numPr>
          <w:ilvl w:val="0"/>
          <w:numId w:val="28"/>
        </w:numPr>
        <w:tabs>
          <w:tab w:val="left" w:pos="426"/>
        </w:tabs>
        <w:contextualSpacing/>
        <w:jc w:val="both"/>
        <w:rPr>
          <w:rFonts w:asciiTheme="minorHAnsi" w:hAnsiTheme="minorHAnsi" w:cstheme="minorHAnsi"/>
        </w:rPr>
      </w:pPr>
      <w:r>
        <w:rPr>
          <w:rFonts w:asciiTheme="minorHAnsi" w:hAnsiTheme="minorHAnsi" w:cstheme="minorHAnsi"/>
        </w:rPr>
        <w:t>D</w:t>
      </w:r>
      <w:r w:rsidRPr="009E003C">
        <w:rPr>
          <w:rFonts w:asciiTheme="minorHAnsi" w:hAnsiTheme="minorHAnsi" w:cstheme="minorHAnsi"/>
        </w:rPr>
        <w:t>edicated printer for medicine labels.</w:t>
      </w:r>
    </w:p>
    <w:p w14:paraId="5D5D474E" w14:textId="77777777" w:rsidR="009E003C" w:rsidRDefault="009E003C" w:rsidP="009E003C">
      <w:pPr>
        <w:spacing w:after="0"/>
        <w:jc w:val="both"/>
        <w:rPr>
          <w:rFonts w:asciiTheme="minorHAnsi" w:hAnsiTheme="minorHAnsi" w:cstheme="minorHAnsi"/>
        </w:rPr>
      </w:pPr>
      <w:r w:rsidRPr="009E003C">
        <w:rPr>
          <w:rFonts w:asciiTheme="minorHAnsi" w:hAnsiTheme="minorHAnsi" w:cstheme="minorHAnsi"/>
        </w:rPr>
        <w:t>Access to a printer for the printing of Consumer Medicines Information (CMI) may be located at or away from the dispensing station and may service a network of dispensing stations.</w:t>
      </w:r>
    </w:p>
    <w:p w14:paraId="5E85674E" w14:textId="77777777" w:rsidR="009E003C" w:rsidRDefault="009E003C" w:rsidP="009E003C">
      <w:pPr>
        <w:pStyle w:val="Heading3"/>
      </w:pPr>
      <w:bookmarkStart w:id="15" w:name="_Toc89071561"/>
      <w:r>
        <w:t>Dose Administration Aids</w:t>
      </w:r>
      <w:bookmarkEnd w:id="15"/>
    </w:p>
    <w:p w14:paraId="3ED911B9" w14:textId="77777777" w:rsidR="009E003C" w:rsidRPr="009E003C" w:rsidRDefault="009E003C" w:rsidP="009E003C">
      <w:pPr>
        <w:jc w:val="both"/>
        <w:rPr>
          <w:rFonts w:asciiTheme="minorHAnsi" w:hAnsiTheme="minorHAnsi" w:cstheme="minorHAnsi"/>
        </w:rPr>
      </w:pPr>
      <w:r w:rsidRPr="009E003C">
        <w:rPr>
          <w:rFonts w:asciiTheme="minorHAnsi" w:hAnsiTheme="minorHAnsi" w:cstheme="minorHAnsi"/>
        </w:rPr>
        <w:t>The pharmacy department must allow sufficient space for the preparation of dose administration aids.  Consideration must also be given to:</w:t>
      </w:r>
    </w:p>
    <w:p w14:paraId="2889BFC0" w14:textId="77777777" w:rsidR="009E003C" w:rsidRPr="009E003C" w:rsidRDefault="009E003C" w:rsidP="000F5DE6">
      <w:pPr>
        <w:pStyle w:val="ListParagraph"/>
        <w:numPr>
          <w:ilvl w:val="0"/>
          <w:numId w:val="27"/>
        </w:numPr>
        <w:spacing w:after="0"/>
        <w:contextualSpacing/>
        <w:jc w:val="both"/>
        <w:rPr>
          <w:rFonts w:asciiTheme="minorHAnsi" w:hAnsiTheme="minorHAnsi" w:cstheme="minorHAnsi"/>
        </w:rPr>
      </w:pPr>
      <w:proofErr w:type="gramStart"/>
      <w:r>
        <w:rPr>
          <w:rFonts w:asciiTheme="minorHAnsi" w:hAnsiTheme="minorHAnsi" w:cstheme="minorHAnsi"/>
        </w:rPr>
        <w:t>L</w:t>
      </w:r>
      <w:r w:rsidRPr="009E003C">
        <w:rPr>
          <w:rFonts w:asciiTheme="minorHAnsi" w:hAnsiTheme="minorHAnsi" w:cstheme="minorHAnsi"/>
        </w:rPr>
        <w:t>ighting;</w:t>
      </w:r>
      <w:proofErr w:type="gramEnd"/>
    </w:p>
    <w:p w14:paraId="478DDE8C" w14:textId="77777777" w:rsidR="009E003C" w:rsidRPr="009E003C" w:rsidRDefault="009E003C" w:rsidP="000F5DE6">
      <w:pPr>
        <w:pStyle w:val="ListParagraph"/>
        <w:numPr>
          <w:ilvl w:val="0"/>
          <w:numId w:val="27"/>
        </w:numPr>
        <w:spacing w:after="0"/>
        <w:contextualSpacing/>
        <w:jc w:val="both"/>
        <w:rPr>
          <w:rFonts w:asciiTheme="minorHAnsi" w:hAnsiTheme="minorHAnsi" w:cstheme="minorHAnsi"/>
        </w:rPr>
      </w:pPr>
      <w:r>
        <w:rPr>
          <w:rFonts w:asciiTheme="minorHAnsi" w:hAnsiTheme="minorHAnsi" w:cstheme="minorHAnsi"/>
        </w:rPr>
        <w:t>A</w:t>
      </w:r>
      <w:r w:rsidRPr="009E003C">
        <w:rPr>
          <w:rFonts w:asciiTheme="minorHAnsi" w:hAnsiTheme="minorHAnsi" w:cstheme="minorHAnsi"/>
        </w:rPr>
        <w:t xml:space="preserve">ccess to hand </w:t>
      </w:r>
      <w:proofErr w:type="gramStart"/>
      <w:r w:rsidRPr="009E003C">
        <w:rPr>
          <w:rFonts w:asciiTheme="minorHAnsi" w:hAnsiTheme="minorHAnsi" w:cstheme="minorHAnsi"/>
        </w:rPr>
        <w:t>hygiene;</w:t>
      </w:r>
      <w:proofErr w:type="gramEnd"/>
    </w:p>
    <w:p w14:paraId="289F8ABC" w14:textId="77777777" w:rsidR="009E003C" w:rsidRPr="009E003C" w:rsidRDefault="009E003C" w:rsidP="000F5DE6">
      <w:pPr>
        <w:pStyle w:val="ListParagraph"/>
        <w:numPr>
          <w:ilvl w:val="0"/>
          <w:numId w:val="27"/>
        </w:numPr>
        <w:spacing w:after="0"/>
        <w:contextualSpacing/>
        <w:jc w:val="both"/>
        <w:rPr>
          <w:rFonts w:asciiTheme="minorHAnsi" w:hAnsiTheme="minorHAnsi" w:cstheme="minorHAnsi"/>
        </w:rPr>
      </w:pPr>
      <w:r>
        <w:rPr>
          <w:rFonts w:asciiTheme="minorHAnsi" w:hAnsiTheme="minorHAnsi" w:cstheme="minorHAnsi"/>
        </w:rPr>
        <w:t>A</w:t>
      </w:r>
      <w:r w:rsidRPr="009E003C">
        <w:rPr>
          <w:rFonts w:asciiTheme="minorHAnsi" w:hAnsiTheme="minorHAnsi" w:cstheme="minorHAnsi"/>
        </w:rPr>
        <w:t xml:space="preserve"> location free from interruption; and</w:t>
      </w:r>
    </w:p>
    <w:p w14:paraId="0B9A1B07" w14:textId="77777777" w:rsidR="009E003C" w:rsidRDefault="009E003C" w:rsidP="000F5DE6">
      <w:pPr>
        <w:pStyle w:val="ListParagraph"/>
        <w:numPr>
          <w:ilvl w:val="0"/>
          <w:numId w:val="27"/>
        </w:numPr>
        <w:spacing w:after="0" w:line="276" w:lineRule="auto"/>
        <w:contextualSpacing/>
        <w:jc w:val="both"/>
        <w:rPr>
          <w:rFonts w:asciiTheme="minorHAnsi" w:hAnsiTheme="minorHAnsi" w:cstheme="minorHAnsi"/>
        </w:rPr>
      </w:pPr>
      <w:r>
        <w:rPr>
          <w:rFonts w:asciiTheme="minorHAnsi" w:hAnsiTheme="minorHAnsi" w:cstheme="minorHAnsi"/>
        </w:rPr>
        <w:t>M</w:t>
      </w:r>
      <w:r w:rsidRPr="009E003C">
        <w:rPr>
          <w:rFonts w:asciiTheme="minorHAnsi" w:hAnsiTheme="minorHAnsi" w:cstheme="minorHAnsi"/>
        </w:rPr>
        <w:t>eet applicable health and safety requirements.</w:t>
      </w:r>
    </w:p>
    <w:p w14:paraId="320B8F05" w14:textId="77777777" w:rsidR="009E003C" w:rsidRDefault="009E003C" w:rsidP="009E003C">
      <w:pPr>
        <w:pStyle w:val="Heading2"/>
      </w:pPr>
      <w:bookmarkStart w:id="16" w:name="_Toc89071562"/>
      <w:r>
        <w:t>Client Waiting Area</w:t>
      </w:r>
      <w:bookmarkEnd w:id="16"/>
    </w:p>
    <w:p w14:paraId="007A847E" w14:textId="77777777" w:rsidR="009E003C" w:rsidRDefault="009E003C" w:rsidP="009E003C">
      <w:pPr>
        <w:spacing w:after="0"/>
        <w:jc w:val="both"/>
        <w:rPr>
          <w:rFonts w:asciiTheme="minorHAnsi" w:hAnsiTheme="minorHAnsi" w:cstheme="minorHAnsi"/>
        </w:rPr>
      </w:pPr>
      <w:r w:rsidRPr="009E003C">
        <w:rPr>
          <w:rFonts w:asciiTheme="minorHAnsi" w:hAnsiTheme="minorHAnsi" w:cstheme="minorHAnsi"/>
        </w:rPr>
        <w:t xml:space="preserve">The pharmacy department must provide at least one client waiting area. The area is to be utilised by clients who are waiting to collect their dispensed medicines. Its use should be encouraged to minimise overcrowding in the counselling area so that patient privacy is not compromised. </w:t>
      </w:r>
    </w:p>
    <w:p w14:paraId="773988CC" w14:textId="77777777" w:rsidR="009E003C" w:rsidRDefault="009E003C" w:rsidP="009E003C">
      <w:pPr>
        <w:pStyle w:val="Heading2"/>
      </w:pPr>
      <w:bookmarkStart w:id="17" w:name="_Toc89071563"/>
      <w:r>
        <w:t>Counselling Area</w:t>
      </w:r>
      <w:bookmarkEnd w:id="17"/>
    </w:p>
    <w:p w14:paraId="7541EEB2" w14:textId="77777777" w:rsidR="009E003C" w:rsidRPr="009E003C" w:rsidRDefault="009E003C" w:rsidP="009E003C">
      <w:pPr>
        <w:spacing w:after="0"/>
        <w:jc w:val="both"/>
        <w:rPr>
          <w:rFonts w:asciiTheme="minorHAnsi" w:hAnsiTheme="minorHAnsi" w:cstheme="minorHAnsi"/>
        </w:rPr>
      </w:pPr>
      <w:r w:rsidRPr="009E003C">
        <w:rPr>
          <w:rFonts w:asciiTheme="minorHAnsi" w:hAnsiTheme="minorHAnsi" w:cstheme="minorHAnsi"/>
        </w:rPr>
        <w:t>The pharmacy department must have access to an area for the provision of counselling in relation to dispensed or other medicines. This area must be separated from other areas of the department to minimise interruption to client interactions and protect client confidentiality. The design of the counselling area must minimise the risk of conversations being overheard and ensure that medicines and documents cannot be seen by other persons.</w:t>
      </w:r>
    </w:p>
    <w:p w14:paraId="7D6F2051" w14:textId="77777777" w:rsidR="009E003C" w:rsidRPr="009E003C" w:rsidRDefault="009E003C" w:rsidP="009E003C">
      <w:pPr>
        <w:spacing w:after="0"/>
        <w:jc w:val="both"/>
        <w:rPr>
          <w:rFonts w:asciiTheme="minorHAnsi" w:hAnsiTheme="minorHAnsi" w:cstheme="minorHAnsi"/>
        </w:rPr>
      </w:pPr>
    </w:p>
    <w:p w14:paraId="2B37B4CB" w14:textId="77777777" w:rsidR="009E003C" w:rsidRPr="009E003C" w:rsidRDefault="009E003C" w:rsidP="009E003C">
      <w:pPr>
        <w:spacing w:after="0"/>
        <w:jc w:val="both"/>
        <w:rPr>
          <w:rFonts w:asciiTheme="minorHAnsi" w:hAnsiTheme="minorHAnsi" w:cstheme="minorHAnsi"/>
        </w:rPr>
      </w:pPr>
      <w:r w:rsidRPr="009E003C">
        <w:rPr>
          <w:rFonts w:asciiTheme="minorHAnsi" w:hAnsiTheme="minorHAnsi" w:cstheme="minorHAnsi"/>
        </w:rPr>
        <w:t>At the servery counter, privacy screens must be fitted that rise at least 0.6m above the bench to provide confidentiality.  An arrangement that provides an equivalent level of privacy may be considered by the Committee.</w:t>
      </w:r>
    </w:p>
    <w:p w14:paraId="131FA2D8" w14:textId="77777777" w:rsidR="009E003C" w:rsidRPr="009E003C" w:rsidRDefault="009E003C" w:rsidP="009E003C">
      <w:pPr>
        <w:spacing w:after="0"/>
        <w:jc w:val="both"/>
        <w:rPr>
          <w:rFonts w:asciiTheme="minorHAnsi" w:hAnsiTheme="minorHAnsi" w:cstheme="minorHAnsi"/>
        </w:rPr>
      </w:pPr>
    </w:p>
    <w:p w14:paraId="3FB6FCCE" w14:textId="77777777" w:rsidR="009E003C" w:rsidRDefault="009E003C" w:rsidP="009E003C">
      <w:pPr>
        <w:spacing w:after="0"/>
        <w:jc w:val="both"/>
        <w:rPr>
          <w:rFonts w:asciiTheme="minorHAnsi" w:hAnsiTheme="minorHAnsi" w:cstheme="minorHAnsi"/>
        </w:rPr>
      </w:pPr>
      <w:r w:rsidRPr="009E003C">
        <w:rPr>
          <w:rFonts w:asciiTheme="minorHAnsi" w:hAnsiTheme="minorHAnsi" w:cstheme="minorHAnsi"/>
        </w:rPr>
        <w:t>A separate room should be considered for more in-depth counselling for professional service interactions</w:t>
      </w:r>
      <w:r>
        <w:rPr>
          <w:rFonts w:asciiTheme="minorHAnsi" w:hAnsiTheme="minorHAnsi" w:cstheme="minorHAnsi"/>
        </w:rPr>
        <w:t>.</w:t>
      </w:r>
    </w:p>
    <w:p w14:paraId="6A0D377C" w14:textId="77777777" w:rsidR="009E003C" w:rsidRDefault="009E003C" w:rsidP="009E003C">
      <w:pPr>
        <w:pStyle w:val="Heading2"/>
      </w:pPr>
      <w:bookmarkStart w:id="18" w:name="_Toc89071564"/>
      <w:r>
        <w:t>Non-sterile Medicines Production</w:t>
      </w:r>
      <w:bookmarkEnd w:id="18"/>
    </w:p>
    <w:p w14:paraId="18168949" w14:textId="77777777" w:rsidR="009E003C" w:rsidRDefault="009E003C" w:rsidP="009E003C">
      <w:pPr>
        <w:spacing w:after="0"/>
        <w:jc w:val="both"/>
        <w:rPr>
          <w:rFonts w:asciiTheme="minorHAnsi" w:hAnsiTheme="minorHAnsi" w:cstheme="minorHAnsi"/>
        </w:rPr>
      </w:pPr>
      <w:r w:rsidRPr="009E003C">
        <w:rPr>
          <w:rFonts w:asciiTheme="minorHAnsi" w:hAnsiTheme="minorHAnsi" w:cstheme="minorHAnsi"/>
        </w:rPr>
        <w:t>Non-sterile medicines production includes all activities associated with extemporaneous preparation and prepacking of non-sterile pharmaceuticals. Sufficient space, equipment and access to dedicated sinks are all requirements if the service is undertaken by the pharmacy department. Activities include</w:t>
      </w:r>
      <w:r>
        <w:rPr>
          <w:rFonts w:asciiTheme="minorHAnsi" w:hAnsiTheme="minorHAnsi" w:cstheme="minorHAnsi"/>
        </w:rPr>
        <w:t xml:space="preserve"> the following.</w:t>
      </w:r>
    </w:p>
    <w:p w14:paraId="339D64F3" w14:textId="77777777" w:rsidR="009E003C" w:rsidRDefault="009E003C" w:rsidP="009E003C">
      <w:pPr>
        <w:pStyle w:val="Heading3"/>
      </w:pPr>
      <w:bookmarkStart w:id="19" w:name="_Toc89071565"/>
      <w:r>
        <w:t>Pre-packaging</w:t>
      </w:r>
      <w:bookmarkEnd w:id="19"/>
    </w:p>
    <w:p w14:paraId="3836974B" w14:textId="77777777" w:rsidR="009E003C" w:rsidRPr="009E003C" w:rsidRDefault="009E003C" w:rsidP="009E003C">
      <w:pPr>
        <w:ind w:left="709" w:hanging="709"/>
        <w:jc w:val="both"/>
        <w:rPr>
          <w:rFonts w:asciiTheme="minorHAnsi" w:hAnsiTheme="minorHAnsi" w:cstheme="minorHAnsi"/>
        </w:rPr>
      </w:pPr>
      <w:r w:rsidRPr="009E003C">
        <w:rPr>
          <w:rFonts w:asciiTheme="minorHAnsi" w:hAnsiTheme="minorHAnsi" w:cstheme="minorHAnsi"/>
        </w:rPr>
        <w:t>Prepacking of pharmaceuticals includes the following activities:</w:t>
      </w:r>
    </w:p>
    <w:p w14:paraId="2156E9FF" w14:textId="77777777" w:rsidR="009E003C" w:rsidRPr="009E003C" w:rsidRDefault="009E003C" w:rsidP="000F5DE6">
      <w:pPr>
        <w:pStyle w:val="ListParagraph"/>
        <w:numPr>
          <w:ilvl w:val="0"/>
          <w:numId w:val="10"/>
        </w:numPr>
        <w:spacing w:after="0"/>
        <w:contextualSpacing/>
        <w:jc w:val="both"/>
        <w:rPr>
          <w:rFonts w:asciiTheme="minorHAnsi" w:hAnsiTheme="minorHAnsi" w:cstheme="minorHAnsi"/>
        </w:rPr>
      </w:pPr>
      <w:r w:rsidRPr="009E003C">
        <w:rPr>
          <w:rFonts w:asciiTheme="minorHAnsi" w:hAnsiTheme="minorHAnsi" w:cstheme="minorHAnsi"/>
        </w:rPr>
        <w:t>Maintain a batch</w:t>
      </w:r>
      <w:r w:rsidRPr="009E003C">
        <w:rPr>
          <w:rFonts w:asciiTheme="minorHAnsi" w:hAnsiTheme="minorHAnsi" w:cstheme="minorHAnsi"/>
          <w:vertAlign w:val="superscript"/>
        </w:rPr>
        <w:t>1</w:t>
      </w:r>
      <w:r w:rsidRPr="009E003C">
        <w:rPr>
          <w:rFonts w:asciiTheme="minorHAnsi" w:hAnsiTheme="minorHAnsi" w:cstheme="minorHAnsi"/>
        </w:rPr>
        <w:t xml:space="preserve"> record.</w:t>
      </w:r>
    </w:p>
    <w:p w14:paraId="1E5B95A2" w14:textId="77777777" w:rsidR="009E003C" w:rsidRPr="009E003C" w:rsidRDefault="009E003C" w:rsidP="000F5DE6">
      <w:pPr>
        <w:pStyle w:val="ListParagraph"/>
        <w:numPr>
          <w:ilvl w:val="0"/>
          <w:numId w:val="10"/>
        </w:numPr>
        <w:spacing w:after="0"/>
        <w:contextualSpacing/>
        <w:jc w:val="both"/>
        <w:rPr>
          <w:rFonts w:asciiTheme="minorHAnsi" w:hAnsiTheme="minorHAnsi" w:cstheme="minorHAnsi"/>
        </w:rPr>
      </w:pPr>
      <w:r w:rsidRPr="009E003C">
        <w:rPr>
          <w:rFonts w:asciiTheme="minorHAnsi" w:hAnsiTheme="minorHAnsi" w:cstheme="minorHAnsi"/>
        </w:rPr>
        <w:t>Enter information on prepacking record.</w:t>
      </w:r>
    </w:p>
    <w:p w14:paraId="3A8831F5" w14:textId="77777777" w:rsidR="009E003C" w:rsidRDefault="009E003C" w:rsidP="000F5DE6">
      <w:pPr>
        <w:pStyle w:val="ListParagraph"/>
        <w:numPr>
          <w:ilvl w:val="0"/>
          <w:numId w:val="10"/>
        </w:numPr>
        <w:spacing w:after="0"/>
        <w:contextualSpacing/>
        <w:jc w:val="both"/>
        <w:rPr>
          <w:rFonts w:asciiTheme="minorHAnsi" w:hAnsiTheme="minorHAnsi" w:cstheme="minorHAnsi"/>
        </w:rPr>
      </w:pPr>
      <w:r w:rsidRPr="009E003C">
        <w:rPr>
          <w:rFonts w:asciiTheme="minorHAnsi" w:hAnsiTheme="minorHAnsi" w:cstheme="minorHAnsi"/>
        </w:rPr>
        <w:t>Preparation and labelling.</w:t>
      </w:r>
    </w:p>
    <w:p w14:paraId="15F15022" w14:textId="77777777" w:rsidR="00B952BF" w:rsidRDefault="00B952BF" w:rsidP="00B952BF">
      <w:pPr>
        <w:spacing w:after="0"/>
        <w:contextualSpacing/>
        <w:jc w:val="both"/>
        <w:rPr>
          <w:rFonts w:asciiTheme="minorHAnsi" w:hAnsiTheme="minorHAnsi" w:cstheme="minorHAnsi"/>
        </w:rPr>
      </w:pPr>
    </w:p>
    <w:p w14:paraId="659BF0CE" w14:textId="77777777" w:rsidR="00B952BF" w:rsidRDefault="00B952BF" w:rsidP="00B952BF">
      <w:pPr>
        <w:pStyle w:val="Heading3"/>
      </w:pPr>
      <w:bookmarkStart w:id="20" w:name="_Toc89071566"/>
      <w:r>
        <w:lastRenderedPageBreak/>
        <w:t>Extemporaneous Compounding</w:t>
      </w:r>
      <w:bookmarkEnd w:id="20"/>
    </w:p>
    <w:p w14:paraId="2A72017A" w14:textId="77777777" w:rsidR="00B952BF" w:rsidRPr="00B952BF" w:rsidRDefault="00B952BF" w:rsidP="00B952BF">
      <w:pPr>
        <w:rPr>
          <w:rFonts w:asciiTheme="minorHAnsi" w:hAnsiTheme="minorHAnsi" w:cstheme="minorHAnsi"/>
        </w:rPr>
      </w:pPr>
      <w:r w:rsidRPr="00B952BF">
        <w:rPr>
          <w:rFonts w:asciiTheme="minorHAnsi" w:hAnsiTheme="minorHAnsi" w:cstheme="minorHAnsi"/>
        </w:rPr>
        <w:t xml:space="preserve">Extemporaneous compounding is the preparation of a product which is not commercially available and must be compounded from raw or intermediary products and includes the following activities: </w:t>
      </w:r>
    </w:p>
    <w:p w14:paraId="72AF7BB6" w14:textId="77777777" w:rsidR="00B952BF" w:rsidRPr="00B952BF" w:rsidRDefault="00B952BF" w:rsidP="000F5DE6">
      <w:pPr>
        <w:pStyle w:val="ListParagraph"/>
        <w:numPr>
          <w:ilvl w:val="0"/>
          <w:numId w:val="26"/>
        </w:numPr>
        <w:spacing w:after="0"/>
        <w:contextualSpacing/>
        <w:rPr>
          <w:rFonts w:asciiTheme="minorHAnsi" w:hAnsiTheme="minorHAnsi" w:cstheme="minorHAnsi"/>
        </w:rPr>
      </w:pPr>
      <w:r w:rsidRPr="00B952BF">
        <w:rPr>
          <w:rFonts w:asciiTheme="minorHAnsi" w:hAnsiTheme="minorHAnsi" w:cstheme="minorHAnsi"/>
        </w:rPr>
        <w:t>Maintain a batch</w:t>
      </w:r>
      <w:r w:rsidRPr="00B952BF">
        <w:rPr>
          <w:rFonts w:asciiTheme="minorHAnsi" w:hAnsiTheme="minorHAnsi" w:cstheme="minorHAnsi"/>
          <w:vertAlign w:val="superscript"/>
        </w:rPr>
        <w:t>1</w:t>
      </w:r>
      <w:r w:rsidRPr="00B952BF">
        <w:rPr>
          <w:rFonts w:asciiTheme="minorHAnsi" w:hAnsiTheme="minorHAnsi" w:cstheme="minorHAnsi"/>
        </w:rPr>
        <w:t xml:space="preserve"> record.</w:t>
      </w:r>
    </w:p>
    <w:p w14:paraId="5129DF84" w14:textId="77777777" w:rsidR="00B952BF" w:rsidRPr="00B952BF" w:rsidRDefault="00B952BF" w:rsidP="000F5DE6">
      <w:pPr>
        <w:pStyle w:val="ListParagraph"/>
        <w:numPr>
          <w:ilvl w:val="0"/>
          <w:numId w:val="26"/>
        </w:numPr>
        <w:spacing w:after="0"/>
        <w:contextualSpacing/>
        <w:rPr>
          <w:rFonts w:asciiTheme="minorHAnsi" w:hAnsiTheme="minorHAnsi" w:cstheme="minorHAnsi"/>
        </w:rPr>
      </w:pPr>
      <w:r w:rsidRPr="00B952BF">
        <w:rPr>
          <w:rFonts w:asciiTheme="minorHAnsi" w:hAnsiTheme="minorHAnsi" w:cstheme="minorHAnsi"/>
        </w:rPr>
        <w:t>Complete a batch</w:t>
      </w:r>
      <w:r w:rsidRPr="00B952BF">
        <w:rPr>
          <w:rFonts w:asciiTheme="minorHAnsi" w:hAnsiTheme="minorHAnsi" w:cstheme="minorHAnsi"/>
          <w:vertAlign w:val="superscript"/>
        </w:rPr>
        <w:t>1</w:t>
      </w:r>
      <w:r w:rsidRPr="00B952BF">
        <w:rPr>
          <w:rFonts w:asciiTheme="minorHAnsi" w:hAnsiTheme="minorHAnsi" w:cstheme="minorHAnsi"/>
        </w:rPr>
        <w:t xml:space="preserve"> record sheet.</w:t>
      </w:r>
    </w:p>
    <w:p w14:paraId="4E70A218" w14:textId="77777777" w:rsidR="00B952BF" w:rsidRPr="00B952BF" w:rsidRDefault="00B952BF" w:rsidP="000F5DE6">
      <w:pPr>
        <w:pStyle w:val="ListParagraph"/>
        <w:numPr>
          <w:ilvl w:val="0"/>
          <w:numId w:val="26"/>
        </w:numPr>
        <w:spacing w:after="0"/>
        <w:contextualSpacing/>
        <w:rPr>
          <w:rFonts w:asciiTheme="minorHAnsi" w:hAnsiTheme="minorHAnsi" w:cstheme="minorHAnsi"/>
        </w:rPr>
      </w:pPr>
      <w:r w:rsidRPr="00B952BF">
        <w:rPr>
          <w:rFonts w:asciiTheme="minorHAnsi" w:hAnsiTheme="minorHAnsi" w:cstheme="minorHAnsi"/>
        </w:rPr>
        <w:t>Obtain supplies.</w:t>
      </w:r>
    </w:p>
    <w:p w14:paraId="52075613" w14:textId="77777777" w:rsidR="00B952BF" w:rsidRPr="00B952BF" w:rsidRDefault="00B952BF" w:rsidP="000F5DE6">
      <w:pPr>
        <w:pStyle w:val="ListParagraph"/>
        <w:numPr>
          <w:ilvl w:val="0"/>
          <w:numId w:val="26"/>
        </w:numPr>
        <w:spacing w:after="0"/>
        <w:contextualSpacing/>
        <w:rPr>
          <w:rFonts w:asciiTheme="minorHAnsi" w:hAnsiTheme="minorHAnsi" w:cstheme="minorHAnsi"/>
        </w:rPr>
      </w:pPr>
      <w:r w:rsidRPr="00B952BF">
        <w:rPr>
          <w:rFonts w:asciiTheme="minorHAnsi" w:hAnsiTheme="minorHAnsi" w:cstheme="minorHAnsi"/>
        </w:rPr>
        <w:t>Prepare equipment and containers.</w:t>
      </w:r>
    </w:p>
    <w:p w14:paraId="7E7DEB31" w14:textId="77777777" w:rsidR="00B952BF" w:rsidRPr="00B952BF" w:rsidRDefault="00B952BF" w:rsidP="000F5DE6">
      <w:pPr>
        <w:pStyle w:val="ListParagraph"/>
        <w:numPr>
          <w:ilvl w:val="0"/>
          <w:numId w:val="26"/>
        </w:numPr>
        <w:spacing w:after="0"/>
        <w:contextualSpacing/>
        <w:rPr>
          <w:rFonts w:asciiTheme="minorHAnsi" w:hAnsiTheme="minorHAnsi" w:cstheme="minorHAnsi"/>
        </w:rPr>
      </w:pPr>
      <w:r w:rsidRPr="00B952BF">
        <w:rPr>
          <w:rFonts w:asciiTheme="minorHAnsi" w:hAnsiTheme="minorHAnsi" w:cstheme="minorHAnsi"/>
        </w:rPr>
        <w:t>Compound the pharmaceutical.</w:t>
      </w:r>
    </w:p>
    <w:p w14:paraId="3FB4C444" w14:textId="77777777" w:rsidR="009E003C" w:rsidRPr="00B952BF" w:rsidRDefault="00B952BF" w:rsidP="000F5DE6">
      <w:pPr>
        <w:pStyle w:val="ListParagraph"/>
        <w:numPr>
          <w:ilvl w:val="0"/>
          <w:numId w:val="26"/>
        </w:numPr>
        <w:spacing w:after="0" w:line="276" w:lineRule="auto"/>
        <w:contextualSpacing/>
        <w:jc w:val="both"/>
      </w:pPr>
      <w:r w:rsidRPr="00B952BF">
        <w:rPr>
          <w:rFonts w:asciiTheme="minorHAnsi" w:hAnsiTheme="minorHAnsi" w:cstheme="minorHAnsi"/>
        </w:rPr>
        <w:t>Label appropriately.</w:t>
      </w:r>
    </w:p>
    <w:p w14:paraId="14DA3C26" w14:textId="77777777" w:rsidR="00B952BF" w:rsidRDefault="00B952BF" w:rsidP="00B952BF">
      <w:pPr>
        <w:pStyle w:val="Heading2"/>
      </w:pPr>
      <w:bookmarkStart w:id="21" w:name="_Toc89071567"/>
      <w:r>
        <w:t>Sterile Medicines Production</w:t>
      </w:r>
      <w:bookmarkEnd w:id="21"/>
    </w:p>
    <w:p w14:paraId="1342304F" w14:textId="77777777" w:rsidR="00B952BF" w:rsidRDefault="00B952BF" w:rsidP="00B952BF">
      <w:r w:rsidRPr="005862A3">
        <w:t>M</w:t>
      </w:r>
      <w:r>
        <w:t xml:space="preserve">edicines production </w:t>
      </w:r>
      <w:r w:rsidRPr="005862A3">
        <w:t>of sterile pharmaceutical products includes aseptic preparation and end stage sterilisation of formulations. Sufficient space, equipment and access to dedicated sinks are all requirements if the service is undertaken by the pharmacy department. All equipment used in the process must be maintained and inspected with accurate records of service and maintenance history kept. Activities include:</w:t>
      </w:r>
    </w:p>
    <w:p w14:paraId="6D440A82" w14:textId="77777777" w:rsidR="00B952BF" w:rsidRDefault="00B952BF" w:rsidP="00CA04DB">
      <w:pPr>
        <w:pStyle w:val="Heading3"/>
      </w:pPr>
      <w:bookmarkStart w:id="22" w:name="_Toc89071568"/>
      <w:r>
        <w:t>Aseptic</w:t>
      </w:r>
      <w:bookmarkEnd w:id="22"/>
    </w:p>
    <w:p w14:paraId="665405D3" w14:textId="77777777" w:rsidR="00B952BF" w:rsidRPr="00B952BF" w:rsidRDefault="00B952BF" w:rsidP="00B952BF">
      <w:pPr>
        <w:jc w:val="both"/>
        <w:rPr>
          <w:rFonts w:asciiTheme="minorHAnsi" w:hAnsiTheme="minorHAnsi" w:cstheme="minorHAnsi"/>
        </w:rPr>
      </w:pPr>
      <w:r w:rsidRPr="00B952BF">
        <w:rPr>
          <w:rFonts w:asciiTheme="minorHAnsi" w:hAnsiTheme="minorHAnsi" w:cstheme="minorHAnsi"/>
        </w:rPr>
        <w:t>Preparation of a pharmaceutical product utilising appropriate aseptic technique. Products may include:</w:t>
      </w:r>
    </w:p>
    <w:p w14:paraId="40705F5F" w14:textId="77777777" w:rsidR="00B952BF" w:rsidRPr="00B952BF" w:rsidRDefault="00B952BF" w:rsidP="000F5DE6">
      <w:pPr>
        <w:pStyle w:val="ListParagraph"/>
        <w:numPr>
          <w:ilvl w:val="0"/>
          <w:numId w:val="11"/>
        </w:numPr>
        <w:tabs>
          <w:tab w:val="left" w:pos="426"/>
        </w:tabs>
        <w:spacing w:after="0"/>
        <w:ind w:left="0" w:firstLine="0"/>
        <w:contextualSpacing/>
        <w:jc w:val="both"/>
        <w:rPr>
          <w:rFonts w:asciiTheme="minorHAnsi" w:hAnsiTheme="minorHAnsi" w:cstheme="minorHAnsi"/>
        </w:rPr>
      </w:pPr>
      <w:r w:rsidRPr="00B952BF">
        <w:rPr>
          <w:rFonts w:asciiTheme="minorHAnsi" w:hAnsiTheme="minorHAnsi" w:cstheme="minorHAnsi"/>
        </w:rPr>
        <w:t>Aseptic Admixture.</w:t>
      </w:r>
    </w:p>
    <w:p w14:paraId="320792AF" w14:textId="77777777" w:rsidR="00B952BF" w:rsidRPr="00B952BF" w:rsidRDefault="00B952BF" w:rsidP="000F5DE6">
      <w:pPr>
        <w:pStyle w:val="ListParagraph"/>
        <w:numPr>
          <w:ilvl w:val="0"/>
          <w:numId w:val="11"/>
        </w:numPr>
        <w:tabs>
          <w:tab w:val="left" w:pos="426"/>
        </w:tabs>
        <w:spacing w:after="0"/>
        <w:ind w:left="0" w:firstLine="0"/>
        <w:contextualSpacing/>
        <w:jc w:val="both"/>
        <w:rPr>
          <w:rFonts w:asciiTheme="minorHAnsi" w:hAnsiTheme="minorHAnsi" w:cstheme="minorHAnsi"/>
        </w:rPr>
      </w:pPr>
      <w:r w:rsidRPr="00B952BF">
        <w:rPr>
          <w:rFonts w:asciiTheme="minorHAnsi" w:hAnsiTheme="minorHAnsi" w:cstheme="minorHAnsi"/>
        </w:rPr>
        <w:t>Parenteral Nutrition (PN).</w:t>
      </w:r>
    </w:p>
    <w:p w14:paraId="67930EE0" w14:textId="77777777" w:rsidR="00B952BF" w:rsidRPr="00B952BF" w:rsidRDefault="00B952BF" w:rsidP="000F5DE6">
      <w:pPr>
        <w:pStyle w:val="ListParagraph"/>
        <w:numPr>
          <w:ilvl w:val="0"/>
          <w:numId w:val="11"/>
        </w:numPr>
        <w:tabs>
          <w:tab w:val="left" w:pos="426"/>
        </w:tabs>
        <w:spacing w:after="0"/>
        <w:ind w:left="0" w:firstLine="0"/>
        <w:contextualSpacing/>
        <w:jc w:val="both"/>
      </w:pPr>
      <w:r w:rsidRPr="00B952BF">
        <w:rPr>
          <w:rFonts w:asciiTheme="minorHAnsi" w:hAnsiTheme="minorHAnsi" w:cstheme="minorHAnsi"/>
        </w:rPr>
        <w:t>Eye Drops.</w:t>
      </w:r>
    </w:p>
    <w:p w14:paraId="0FAE9646" w14:textId="77777777" w:rsidR="00B952BF" w:rsidRDefault="00B952BF" w:rsidP="00B952BF">
      <w:pPr>
        <w:pStyle w:val="Heading3"/>
      </w:pPr>
      <w:bookmarkStart w:id="23" w:name="_Toc89071569"/>
      <w:r>
        <w:t>Terminally Sterilised</w:t>
      </w:r>
      <w:bookmarkEnd w:id="23"/>
    </w:p>
    <w:p w14:paraId="37C7A850" w14:textId="77777777" w:rsidR="00B952BF" w:rsidRPr="00B952BF" w:rsidRDefault="00B952BF" w:rsidP="00B952BF">
      <w:pPr>
        <w:spacing w:after="0"/>
        <w:jc w:val="both"/>
        <w:rPr>
          <w:rFonts w:asciiTheme="minorHAnsi" w:hAnsiTheme="minorHAnsi" w:cstheme="minorHAnsi"/>
        </w:rPr>
      </w:pPr>
      <w:r w:rsidRPr="00B952BF">
        <w:rPr>
          <w:rFonts w:asciiTheme="minorHAnsi" w:hAnsiTheme="minorHAnsi" w:cstheme="minorHAnsi"/>
        </w:rPr>
        <w:t>Preparation of a product which requires a terminal sterilisation process for example autoclaving</w:t>
      </w:r>
    </w:p>
    <w:p w14:paraId="0190D757" w14:textId="77777777" w:rsidR="00B952BF" w:rsidRDefault="00B952BF" w:rsidP="00B952BF">
      <w:pPr>
        <w:pStyle w:val="Heading2"/>
      </w:pPr>
      <w:bookmarkStart w:id="24" w:name="_Toc89071570"/>
      <w:r>
        <w:t>Radiopharmaceuticals</w:t>
      </w:r>
      <w:bookmarkEnd w:id="24"/>
    </w:p>
    <w:p w14:paraId="2CA1C2A7" w14:textId="77777777" w:rsidR="002C3185" w:rsidRPr="002C3185" w:rsidRDefault="002C3185" w:rsidP="002C3185">
      <w:pPr>
        <w:spacing w:after="0"/>
        <w:jc w:val="both"/>
        <w:rPr>
          <w:rFonts w:asciiTheme="minorHAnsi" w:hAnsiTheme="minorHAnsi" w:cstheme="minorHAnsi"/>
        </w:rPr>
      </w:pPr>
      <w:r w:rsidRPr="002C3185">
        <w:rPr>
          <w:rFonts w:asciiTheme="minorHAnsi" w:hAnsiTheme="minorHAnsi" w:cstheme="minorHAnsi"/>
        </w:rPr>
        <w:t xml:space="preserve">Production of radiopharmaceuticals in the pharmacy department must be licensed under the </w:t>
      </w:r>
      <w:r w:rsidRPr="002C3185">
        <w:rPr>
          <w:rFonts w:asciiTheme="minorHAnsi" w:hAnsiTheme="minorHAnsi" w:cstheme="minorHAnsi"/>
          <w:i/>
        </w:rPr>
        <w:t xml:space="preserve">Radiation Protection </w:t>
      </w:r>
      <w:proofErr w:type="gramStart"/>
      <w:r w:rsidRPr="002C3185">
        <w:rPr>
          <w:rFonts w:asciiTheme="minorHAnsi" w:hAnsiTheme="minorHAnsi" w:cstheme="minorHAnsi"/>
          <w:i/>
        </w:rPr>
        <w:t>Act</w:t>
      </w:r>
      <w:proofErr w:type="gramEnd"/>
      <w:r w:rsidRPr="002C3185">
        <w:rPr>
          <w:rFonts w:asciiTheme="minorHAnsi" w:hAnsiTheme="minorHAnsi" w:cstheme="minorHAnsi"/>
        </w:rPr>
        <w:t xml:space="preserve"> and a current compliance certificate must be displayed near the site. </w:t>
      </w:r>
    </w:p>
    <w:p w14:paraId="54B5544A" w14:textId="77777777" w:rsidR="002C3185" w:rsidRPr="002C3185" w:rsidRDefault="002C3185" w:rsidP="002C3185">
      <w:pPr>
        <w:spacing w:after="0"/>
        <w:jc w:val="both"/>
        <w:rPr>
          <w:rFonts w:asciiTheme="minorHAnsi" w:hAnsiTheme="minorHAnsi" w:cstheme="minorHAnsi"/>
        </w:rPr>
      </w:pPr>
    </w:p>
    <w:p w14:paraId="4B6F7522" w14:textId="77777777" w:rsidR="002C3185" w:rsidRDefault="002C3185" w:rsidP="002C3185">
      <w:pPr>
        <w:spacing w:after="0"/>
        <w:jc w:val="both"/>
        <w:rPr>
          <w:rFonts w:asciiTheme="minorHAnsi" w:hAnsiTheme="minorHAnsi" w:cstheme="minorHAnsi"/>
          <w:i/>
        </w:rPr>
      </w:pPr>
      <w:r w:rsidRPr="002C3185">
        <w:rPr>
          <w:rFonts w:asciiTheme="minorHAnsi" w:hAnsiTheme="minorHAnsi" w:cstheme="minorHAnsi"/>
        </w:rPr>
        <w:t xml:space="preserve">Persons authorised to use the equipment must also be licensed under the </w:t>
      </w:r>
      <w:r w:rsidRPr="002C3185">
        <w:rPr>
          <w:rFonts w:asciiTheme="minorHAnsi" w:hAnsiTheme="minorHAnsi" w:cstheme="minorHAnsi"/>
          <w:i/>
        </w:rPr>
        <w:t>Radiation Protection Act</w:t>
      </w:r>
      <w:r>
        <w:rPr>
          <w:rFonts w:asciiTheme="minorHAnsi" w:hAnsiTheme="minorHAnsi" w:cstheme="minorHAnsi"/>
          <w:i/>
        </w:rPr>
        <w:t xml:space="preserve"> 2004</w:t>
      </w:r>
      <w:r w:rsidRPr="002C3185">
        <w:rPr>
          <w:rFonts w:asciiTheme="minorHAnsi" w:hAnsiTheme="minorHAnsi" w:cstheme="minorHAnsi"/>
          <w:i/>
        </w:rPr>
        <w:t>.</w:t>
      </w:r>
    </w:p>
    <w:p w14:paraId="0DED7E35" w14:textId="77777777" w:rsidR="002C3185" w:rsidRDefault="002C3185" w:rsidP="002C3185">
      <w:pPr>
        <w:pStyle w:val="Heading2"/>
      </w:pPr>
      <w:bookmarkStart w:id="25" w:name="_Toc89071571"/>
      <w:r>
        <w:t>Cytotoxic Medicines Production</w:t>
      </w:r>
      <w:bookmarkEnd w:id="25"/>
    </w:p>
    <w:p w14:paraId="6B0F7D76" w14:textId="77777777" w:rsidR="002C3185" w:rsidRPr="002C3185" w:rsidRDefault="002C3185" w:rsidP="002C3185">
      <w:pPr>
        <w:spacing w:after="0"/>
        <w:jc w:val="both"/>
        <w:rPr>
          <w:rFonts w:asciiTheme="minorHAnsi" w:hAnsiTheme="minorHAnsi" w:cstheme="minorHAnsi"/>
        </w:rPr>
      </w:pPr>
      <w:r w:rsidRPr="002C3185">
        <w:rPr>
          <w:rFonts w:asciiTheme="minorHAnsi" w:hAnsiTheme="minorHAnsi" w:cstheme="minorHAnsi"/>
        </w:rPr>
        <w:t>Cytotoxic medicines production or assembly requires the use of barrier isolated systems or closed restricted access barrier systems (</w:t>
      </w:r>
      <w:proofErr w:type="spellStart"/>
      <w:r w:rsidRPr="002C3185">
        <w:rPr>
          <w:rFonts w:asciiTheme="minorHAnsi" w:hAnsiTheme="minorHAnsi" w:cstheme="minorHAnsi"/>
        </w:rPr>
        <w:t>cRABS</w:t>
      </w:r>
      <w:proofErr w:type="spellEnd"/>
      <w:r w:rsidRPr="002C3185">
        <w:rPr>
          <w:rFonts w:asciiTheme="minorHAnsi" w:hAnsiTheme="minorHAnsi" w:cstheme="minorHAnsi"/>
        </w:rPr>
        <w:t>). Evidence of ongoing maintenance and records of certification must be readily available for auditing and compliance.</w:t>
      </w:r>
    </w:p>
    <w:p w14:paraId="4C4CF946" w14:textId="77777777" w:rsidR="002C3185" w:rsidRPr="002C3185" w:rsidRDefault="002C3185" w:rsidP="002C3185">
      <w:pPr>
        <w:spacing w:after="0"/>
        <w:jc w:val="both"/>
        <w:rPr>
          <w:rFonts w:asciiTheme="minorHAnsi" w:hAnsiTheme="minorHAnsi" w:cstheme="minorHAnsi"/>
        </w:rPr>
      </w:pPr>
      <w:r w:rsidRPr="002C3185">
        <w:rPr>
          <w:rFonts w:asciiTheme="minorHAnsi" w:hAnsiTheme="minorHAnsi" w:cstheme="minorHAnsi"/>
        </w:rPr>
        <w:t xml:space="preserve"> </w:t>
      </w:r>
    </w:p>
    <w:p w14:paraId="4003D15D" w14:textId="77777777" w:rsidR="002C3185" w:rsidRPr="002C3185" w:rsidRDefault="002C3185" w:rsidP="002C3185">
      <w:pPr>
        <w:spacing w:after="0"/>
        <w:jc w:val="both"/>
        <w:rPr>
          <w:rFonts w:asciiTheme="minorHAnsi" w:hAnsiTheme="minorHAnsi" w:cstheme="minorHAnsi"/>
        </w:rPr>
      </w:pPr>
      <w:r w:rsidRPr="002C3185">
        <w:rPr>
          <w:rFonts w:asciiTheme="minorHAnsi" w:hAnsiTheme="minorHAnsi" w:cstheme="minorHAnsi"/>
        </w:rPr>
        <w:t>The air within these systems must be HEPA-filtered before being exhausted out of the system. Dedicated ducts must be used to remove the air from the building.</w:t>
      </w:r>
    </w:p>
    <w:p w14:paraId="6D83BBF1" w14:textId="77777777" w:rsidR="002C3185" w:rsidRPr="002C3185" w:rsidRDefault="002C3185" w:rsidP="002C3185">
      <w:pPr>
        <w:spacing w:after="0"/>
        <w:jc w:val="both"/>
        <w:rPr>
          <w:rFonts w:asciiTheme="minorHAnsi" w:hAnsiTheme="minorHAnsi" w:cstheme="minorHAnsi"/>
        </w:rPr>
      </w:pPr>
    </w:p>
    <w:p w14:paraId="71CE009D" w14:textId="77777777" w:rsidR="002C3185" w:rsidRDefault="002C3185" w:rsidP="002C3185">
      <w:pPr>
        <w:spacing w:after="0"/>
        <w:jc w:val="both"/>
        <w:rPr>
          <w:rFonts w:asciiTheme="minorHAnsi" w:hAnsiTheme="minorHAnsi" w:cstheme="minorHAnsi"/>
        </w:rPr>
      </w:pPr>
      <w:r w:rsidRPr="002C3185">
        <w:rPr>
          <w:rFonts w:asciiTheme="minorHAnsi" w:hAnsiTheme="minorHAnsi" w:cstheme="minorHAnsi"/>
        </w:rPr>
        <w:t>Lypolisation of cytotoxic agents requires additional handling and containment. Separate ingress and egress points with de-gowning areas must be in place to ensure cytotoxic agents are not carried in to ‘clean’ areas.</w:t>
      </w:r>
    </w:p>
    <w:p w14:paraId="06FA6ED1" w14:textId="77777777" w:rsidR="00563AA2" w:rsidRDefault="00563AA2" w:rsidP="002C3185">
      <w:pPr>
        <w:spacing w:after="0"/>
        <w:jc w:val="both"/>
        <w:rPr>
          <w:rFonts w:asciiTheme="minorHAnsi" w:hAnsiTheme="minorHAnsi" w:cstheme="minorHAnsi"/>
        </w:rPr>
      </w:pPr>
    </w:p>
    <w:p w14:paraId="5079EB11" w14:textId="77777777" w:rsidR="00563AA2" w:rsidRDefault="00563AA2" w:rsidP="002C3185">
      <w:pPr>
        <w:spacing w:after="0"/>
        <w:jc w:val="both"/>
        <w:rPr>
          <w:rFonts w:asciiTheme="minorHAnsi" w:hAnsiTheme="minorHAnsi" w:cstheme="minorHAnsi"/>
        </w:rPr>
      </w:pPr>
    </w:p>
    <w:p w14:paraId="703BCC48" w14:textId="77777777" w:rsidR="00563AA2" w:rsidRDefault="00563AA2" w:rsidP="000F5DE6">
      <w:pPr>
        <w:pStyle w:val="ListParagraph"/>
        <w:numPr>
          <w:ilvl w:val="0"/>
          <w:numId w:val="12"/>
        </w:numPr>
        <w:spacing w:after="0"/>
        <w:ind w:left="284" w:hanging="284"/>
        <w:contextualSpacing/>
        <w:jc w:val="both"/>
        <w:rPr>
          <w:rFonts w:asciiTheme="minorHAnsi" w:hAnsiTheme="minorHAnsi" w:cstheme="minorHAnsi"/>
          <w:i/>
          <w:sz w:val="18"/>
          <w:szCs w:val="18"/>
        </w:rPr>
      </w:pPr>
      <w:r w:rsidRPr="004C5672">
        <w:rPr>
          <w:rFonts w:asciiTheme="minorHAnsi" w:hAnsiTheme="minorHAnsi" w:cstheme="minorHAnsi"/>
          <w:i/>
          <w:sz w:val="18"/>
          <w:szCs w:val="18"/>
        </w:rPr>
        <w:t xml:space="preserve">Note: For the purposes of this document, the term ‘batch’ means a unique identifier of the </w:t>
      </w:r>
      <w:proofErr w:type="gramStart"/>
      <w:r w:rsidRPr="004C5672">
        <w:rPr>
          <w:rFonts w:asciiTheme="minorHAnsi" w:hAnsiTheme="minorHAnsi" w:cstheme="minorHAnsi"/>
          <w:i/>
          <w:sz w:val="18"/>
          <w:szCs w:val="18"/>
        </w:rPr>
        <w:t>end product</w:t>
      </w:r>
      <w:proofErr w:type="gramEnd"/>
      <w:r w:rsidRPr="004C5672">
        <w:rPr>
          <w:rFonts w:asciiTheme="minorHAnsi" w:hAnsiTheme="minorHAnsi" w:cstheme="minorHAnsi"/>
          <w:i/>
          <w:sz w:val="18"/>
          <w:szCs w:val="18"/>
        </w:rPr>
        <w:t xml:space="preserve"> that has not been manufactured. </w:t>
      </w:r>
    </w:p>
    <w:p w14:paraId="4118CF95" w14:textId="77777777" w:rsidR="002C3185" w:rsidRDefault="002C3185" w:rsidP="002C3185">
      <w:pPr>
        <w:pStyle w:val="Heading2"/>
      </w:pPr>
      <w:bookmarkStart w:id="26" w:name="_Toc89071572"/>
      <w:r>
        <w:lastRenderedPageBreak/>
        <w:t>Medicines Information</w:t>
      </w:r>
      <w:bookmarkEnd w:id="26"/>
    </w:p>
    <w:p w14:paraId="6FE0507B" w14:textId="77777777" w:rsidR="00B952BF" w:rsidRDefault="002C3185" w:rsidP="002C3185">
      <w:pPr>
        <w:spacing w:after="0"/>
        <w:jc w:val="both"/>
        <w:rPr>
          <w:rFonts w:asciiTheme="minorHAnsi" w:hAnsiTheme="minorHAnsi" w:cstheme="minorHAnsi"/>
        </w:rPr>
      </w:pPr>
      <w:r w:rsidRPr="002C3185">
        <w:rPr>
          <w:rFonts w:asciiTheme="minorHAnsi" w:hAnsiTheme="minorHAnsi" w:cstheme="minorHAnsi"/>
        </w:rPr>
        <w:t>Pharmacy departments play an important role in the dissemination of medicine information to health professionals and patients. Pharmacy departments providing a medicine information service should have a separate area set aside for the provision of this service. The area should be of a sufficient size, be designed to minimise distraction and include access to appropriate, up-to-date information resources.</w:t>
      </w:r>
    </w:p>
    <w:p w14:paraId="0B7C7839" w14:textId="77777777" w:rsidR="002C3185" w:rsidRDefault="002C3185" w:rsidP="002C3185">
      <w:pPr>
        <w:pStyle w:val="Heading2"/>
      </w:pPr>
      <w:bookmarkStart w:id="27" w:name="_Toc89071573"/>
      <w:r>
        <w:t>Staff Rooms, Toilets and Change Rooms</w:t>
      </w:r>
      <w:bookmarkEnd w:id="27"/>
    </w:p>
    <w:p w14:paraId="411CC7CC" w14:textId="77777777" w:rsidR="002C3185" w:rsidRPr="002C3185" w:rsidRDefault="002C3185" w:rsidP="002C3185">
      <w:pPr>
        <w:spacing w:after="0"/>
        <w:jc w:val="both"/>
        <w:rPr>
          <w:rFonts w:asciiTheme="minorHAnsi" w:hAnsiTheme="minorHAnsi" w:cstheme="minorHAnsi"/>
        </w:rPr>
      </w:pPr>
      <w:r w:rsidRPr="002C3185">
        <w:rPr>
          <w:rFonts w:asciiTheme="minorHAnsi" w:hAnsiTheme="minorHAnsi" w:cstheme="minorHAnsi"/>
        </w:rPr>
        <w:t xml:space="preserve">If staff convenience facilities are located within the pharmacy </w:t>
      </w:r>
      <w:proofErr w:type="gramStart"/>
      <w:r w:rsidRPr="002C3185">
        <w:rPr>
          <w:rFonts w:asciiTheme="minorHAnsi" w:hAnsiTheme="minorHAnsi" w:cstheme="minorHAnsi"/>
        </w:rPr>
        <w:t>department</w:t>
      </w:r>
      <w:proofErr w:type="gramEnd"/>
      <w:r w:rsidRPr="002C3185">
        <w:rPr>
          <w:rFonts w:asciiTheme="minorHAnsi" w:hAnsiTheme="minorHAnsi" w:cstheme="minorHAnsi"/>
        </w:rPr>
        <w:t xml:space="preserve"> they should </w:t>
      </w:r>
      <w:proofErr w:type="gramStart"/>
      <w:r w:rsidRPr="002C3185">
        <w:rPr>
          <w:rFonts w:asciiTheme="minorHAnsi" w:hAnsiTheme="minorHAnsi" w:cstheme="minorHAnsi"/>
        </w:rPr>
        <w:t>be located in</w:t>
      </w:r>
      <w:proofErr w:type="gramEnd"/>
      <w:r w:rsidRPr="002C3185">
        <w:rPr>
          <w:rFonts w:asciiTheme="minorHAnsi" w:hAnsiTheme="minorHAnsi" w:cstheme="minorHAnsi"/>
        </w:rPr>
        <w:t xml:space="preserve"> an area which minimises the interaction and distraction of staff not accessing these facilities. </w:t>
      </w:r>
    </w:p>
    <w:p w14:paraId="0829B395" w14:textId="77777777" w:rsidR="002C3185" w:rsidRPr="002C3185" w:rsidRDefault="002C3185" w:rsidP="002C3185">
      <w:pPr>
        <w:spacing w:after="0"/>
        <w:jc w:val="both"/>
        <w:rPr>
          <w:rFonts w:asciiTheme="minorHAnsi" w:hAnsiTheme="minorHAnsi" w:cstheme="minorHAnsi"/>
        </w:rPr>
      </w:pPr>
    </w:p>
    <w:p w14:paraId="42DAFFC5" w14:textId="77777777" w:rsidR="002C3185" w:rsidRDefault="002C3185" w:rsidP="00563AA2">
      <w:pPr>
        <w:spacing w:after="0"/>
        <w:jc w:val="both"/>
        <w:rPr>
          <w:rFonts w:asciiTheme="minorHAnsi" w:hAnsiTheme="minorHAnsi" w:cstheme="minorHAnsi"/>
        </w:rPr>
      </w:pPr>
      <w:r w:rsidRPr="002C3185">
        <w:rPr>
          <w:rFonts w:asciiTheme="minorHAnsi" w:hAnsiTheme="minorHAnsi" w:cstheme="minorHAnsi"/>
        </w:rPr>
        <w:t>The staff room must have a dedicated sink for the preparation of foodstuffs. Toilets and change rooms must also have dedicated access to hygiene facilities.</w:t>
      </w:r>
    </w:p>
    <w:p w14:paraId="6692FB96" w14:textId="77777777" w:rsidR="00563AA2" w:rsidRDefault="00563AA2" w:rsidP="00563AA2">
      <w:pPr>
        <w:spacing w:after="0"/>
        <w:jc w:val="both"/>
        <w:rPr>
          <w:rFonts w:asciiTheme="minorHAnsi" w:hAnsiTheme="minorHAnsi" w:cstheme="minorHAnsi"/>
        </w:rPr>
      </w:pPr>
    </w:p>
    <w:p w14:paraId="2FCA8D39" w14:textId="77777777" w:rsidR="00EB1FBE" w:rsidRDefault="00EB1FBE" w:rsidP="002C3185">
      <w:pPr>
        <w:spacing w:after="0"/>
        <w:jc w:val="both"/>
        <w:rPr>
          <w:rFonts w:asciiTheme="minorHAnsi" w:hAnsiTheme="minorHAnsi" w:cstheme="minorHAnsi"/>
        </w:rPr>
      </w:pPr>
    </w:p>
    <w:p w14:paraId="0898947C" w14:textId="77777777" w:rsidR="002C3185" w:rsidRDefault="002C3185" w:rsidP="00563AA2">
      <w:pPr>
        <w:pStyle w:val="Heading1"/>
        <w:spacing w:before="0"/>
      </w:pPr>
      <w:bookmarkStart w:id="28" w:name="_Toc89071574"/>
      <w:r>
        <w:t>Schedule 8 Safe</w:t>
      </w:r>
      <w:bookmarkEnd w:id="28"/>
    </w:p>
    <w:p w14:paraId="6085052E" w14:textId="77777777" w:rsidR="002C3185" w:rsidRDefault="002C3185" w:rsidP="00563AA2">
      <w:pPr>
        <w:spacing w:after="0"/>
        <w:jc w:val="both"/>
        <w:rPr>
          <w:rFonts w:asciiTheme="minorHAnsi" w:hAnsiTheme="minorHAnsi" w:cstheme="minorHAnsi"/>
          <w:b/>
        </w:rPr>
      </w:pPr>
      <w:r w:rsidRPr="002C3185">
        <w:rPr>
          <w:rFonts w:asciiTheme="minorHAnsi" w:hAnsiTheme="minorHAnsi" w:cstheme="minorHAnsi"/>
        </w:rPr>
        <w:t xml:space="preserve">The pharmacy department must have a minimum of one safe for the storage of Schedule 8 substances. The pharmacy department should have a suitable size and number of Schedule 8 safes to ensure storage in a neat orderly manner. All safes used for storing S8 substances must comply with the </w:t>
      </w:r>
      <w:r w:rsidRPr="002C3185">
        <w:rPr>
          <w:rFonts w:asciiTheme="minorHAnsi" w:hAnsiTheme="minorHAnsi" w:cstheme="minorHAnsi"/>
          <w:b/>
        </w:rPr>
        <w:t xml:space="preserve">Code of Practice for the Transport and Storage of Schedule 8 Substances. </w:t>
      </w:r>
    </w:p>
    <w:p w14:paraId="6A248F06" w14:textId="77777777" w:rsidR="00563AA2" w:rsidRDefault="00563AA2" w:rsidP="00563AA2">
      <w:pPr>
        <w:spacing w:after="0"/>
        <w:jc w:val="both"/>
        <w:rPr>
          <w:rFonts w:asciiTheme="minorHAnsi" w:hAnsiTheme="minorHAnsi" w:cstheme="minorHAnsi"/>
          <w:b/>
        </w:rPr>
      </w:pPr>
    </w:p>
    <w:p w14:paraId="178FC6CD" w14:textId="77777777" w:rsidR="002C3185" w:rsidRDefault="002C3185" w:rsidP="002C3185">
      <w:pPr>
        <w:spacing w:after="0"/>
        <w:jc w:val="both"/>
        <w:rPr>
          <w:rFonts w:asciiTheme="minorHAnsi" w:hAnsiTheme="minorHAnsi" w:cstheme="minorHAnsi"/>
          <w:b/>
        </w:rPr>
      </w:pPr>
    </w:p>
    <w:p w14:paraId="01CA765A" w14:textId="77777777" w:rsidR="002C3185" w:rsidRDefault="002C3185" w:rsidP="00563AA2">
      <w:pPr>
        <w:pStyle w:val="Heading1"/>
        <w:spacing w:before="0"/>
      </w:pPr>
      <w:bookmarkStart w:id="29" w:name="_Toc89071575"/>
      <w:r>
        <w:t>Medication Refrigerator / Cold Room and Freezer</w:t>
      </w:r>
      <w:r w:rsidR="00EB1FBE">
        <w:t xml:space="preserve">             </w:t>
      </w:r>
      <w:proofErr w:type="gramStart"/>
      <w:r w:rsidR="00EB1FBE">
        <w:t xml:space="preserve">   (</w:t>
      </w:r>
      <w:proofErr w:type="gramEnd"/>
      <w:r w:rsidR="00EB1FBE">
        <w:t>Cold Chain Management)</w:t>
      </w:r>
      <w:bookmarkEnd w:id="29"/>
    </w:p>
    <w:p w14:paraId="4F2AFFEF" w14:textId="77777777" w:rsidR="00EB1FBE" w:rsidRDefault="00EB1FBE" w:rsidP="00EB1FBE">
      <w:pPr>
        <w:pStyle w:val="Heading2"/>
      </w:pPr>
      <w:bookmarkStart w:id="30" w:name="_Toc89071576"/>
      <w:r>
        <w:t>Medication Refrigerator / Cold Room</w:t>
      </w:r>
      <w:bookmarkEnd w:id="30"/>
    </w:p>
    <w:p w14:paraId="3FA9583B"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The pharmacy department must have a minimum of one pharmacy grade refrigerator or cold room for the storage of temperature sensitive medicines.  All refrigerators or cold rooms used for the storage of medicines must comply with</w:t>
      </w:r>
      <w:r>
        <w:rPr>
          <w:rFonts w:asciiTheme="minorHAnsi" w:hAnsiTheme="minorHAnsi" w:cstheme="minorHAnsi"/>
        </w:rPr>
        <w:t xml:space="preserve"> the current version of</w:t>
      </w:r>
      <w:r w:rsidRPr="00EB1FBE">
        <w:rPr>
          <w:rFonts w:asciiTheme="minorHAnsi" w:hAnsiTheme="minorHAnsi" w:cstheme="minorHAnsi"/>
        </w:rPr>
        <w:t xml:space="preserve"> </w:t>
      </w:r>
      <w:r w:rsidRPr="00EB1FBE">
        <w:rPr>
          <w:rFonts w:asciiTheme="minorHAnsi" w:hAnsiTheme="minorHAnsi" w:cstheme="minorHAnsi"/>
          <w:b/>
        </w:rPr>
        <w:t>National Vaccine Storage Guidelines (</w:t>
      </w:r>
      <w:r w:rsidRPr="00EB1FBE">
        <w:rPr>
          <w:rFonts w:asciiTheme="minorHAnsi" w:hAnsiTheme="minorHAnsi" w:cstheme="minorHAnsi"/>
          <w:b/>
          <w:i/>
        </w:rPr>
        <w:t>Strive for 5</w:t>
      </w:r>
      <w:r w:rsidRPr="00EB1FBE">
        <w:rPr>
          <w:rFonts w:asciiTheme="minorHAnsi" w:hAnsiTheme="minorHAnsi" w:cstheme="minorHAnsi"/>
          <w:b/>
        </w:rPr>
        <w:t>)</w:t>
      </w:r>
      <w:r w:rsidRPr="00EB1FBE">
        <w:rPr>
          <w:rFonts w:asciiTheme="minorHAnsi" w:hAnsiTheme="minorHAnsi" w:cstheme="minorHAnsi"/>
        </w:rPr>
        <w:t xml:space="preserve"> and must be dedicated to the storage of pharmaceutical products.</w:t>
      </w:r>
    </w:p>
    <w:p w14:paraId="5EAAA932" w14:textId="77777777" w:rsidR="00EB1FBE" w:rsidRPr="00EB1FBE" w:rsidRDefault="00EB1FBE" w:rsidP="00EB1FBE">
      <w:pPr>
        <w:spacing w:after="0"/>
        <w:jc w:val="both"/>
        <w:rPr>
          <w:rFonts w:asciiTheme="minorHAnsi" w:hAnsiTheme="minorHAnsi" w:cstheme="minorHAnsi"/>
        </w:rPr>
      </w:pPr>
    </w:p>
    <w:p w14:paraId="5429D43B"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The pharmacy department must have a suitable size and number of refrigerators or cold rooms to ensure temperature sensitive medicines are stored in a neat and orderly manner.</w:t>
      </w:r>
    </w:p>
    <w:p w14:paraId="63BFB8F1" w14:textId="77777777" w:rsidR="00EB1FBE" w:rsidRDefault="00EB1FBE" w:rsidP="00EB1FBE">
      <w:pPr>
        <w:spacing w:after="0"/>
        <w:jc w:val="both"/>
        <w:rPr>
          <w:rFonts w:asciiTheme="minorHAnsi" w:hAnsiTheme="minorHAnsi" w:cstheme="minorHAnsi"/>
        </w:rPr>
      </w:pPr>
      <w:r w:rsidRPr="00EB1FBE">
        <w:rPr>
          <w:rFonts w:asciiTheme="minorHAnsi" w:hAnsiTheme="minorHAnsi" w:cstheme="minorHAnsi"/>
        </w:rPr>
        <w:t xml:space="preserve">Appropriate measures should be in place to ensure power to refrigerator or cold room is </w:t>
      </w:r>
      <w:proofErr w:type="gramStart"/>
      <w:r w:rsidRPr="00EB1FBE">
        <w:rPr>
          <w:rFonts w:asciiTheme="minorHAnsi" w:hAnsiTheme="minorHAnsi" w:cstheme="minorHAnsi"/>
        </w:rPr>
        <w:t>maintained at all times</w:t>
      </w:r>
      <w:proofErr w:type="gramEnd"/>
      <w:r w:rsidRPr="00EB1FBE">
        <w:rPr>
          <w:rFonts w:asciiTheme="minorHAnsi" w:hAnsiTheme="minorHAnsi" w:cstheme="minorHAnsi"/>
        </w:rPr>
        <w:t>, including the provision of back-up power generation devices.</w:t>
      </w:r>
    </w:p>
    <w:p w14:paraId="4D26E9C4" w14:textId="77777777" w:rsidR="00EB1FBE" w:rsidRDefault="00EB1FBE" w:rsidP="00EB1FBE">
      <w:pPr>
        <w:pStyle w:val="Heading2"/>
      </w:pPr>
      <w:bookmarkStart w:id="31" w:name="_Toc89071577"/>
      <w:r>
        <w:t>Medication Freezer</w:t>
      </w:r>
      <w:bookmarkEnd w:id="31"/>
    </w:p>
    <w:p w14:paraId="68E2D37A"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If a pharmacy department is required to store medications in a freezer, an appropriate medication freezer must be kept.  The size must be adequate for the needs of the pharmacy department.</w:t>
      </w:r>
    </w:p>
    <w:p w14:paraId="60D7CFE7" w14:textId="77777777" w:rsidR="00EB1FBE" w:rsidRPr="00EB1FBE" w:rsidRDefault="00EB1FBE" w:rsidP="00EB1FBE">
      <w:pPr>
        <w:spacing w:after="0"/>
        <w:jc w:val="both"/>
        <w:rPr>
          <w:rFonts w:asciiTheme="minorHAnsi" w:hAnsiTheme="minorHAnsi" w:cstheme="minorHAnsi"/>
        </w:rPr>
      </w:pPr>
    </w:p>
    <w:p w14:paraId="524FAFED"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Medicines must be stored in accordance with manufacturers’ requirements and be monitored appropriately.</w:t>
      </w:r>
    </w:p>
    <w:p w14:paraId="561CFD39" w14:textId="77777777" w:rsidR="00EB1FBE" w:rsidRPr="00EB1FBE" w:rsidRDefault="00EB1FBE" w:rsidP="00EB1FBE">
      <w:pPr>
        <w:spacing w:after="0"/>
        <w:jc w:val="both"/>
        <w:rPr>
          <w:rFonts w:asciiTheme="minorHAnsi" w:hAnsiTheme="minorHAnsi" w:cstheme="minorHAnsi"/>
        </w:rPr>
      </w:pPr>
    </w:p>
    <w:p w14:paraId="312B63A7" w14:textId="77777777" w:rsidR="00EB1FBE" w:rsidRDefault="00EB1FBE" w:rsidP="00CA04DB">
      <w:pPr>
        <w:jc w:val="both"/>
        <w:rPr>
          <w:rFonts w:asciiTheme="minorHAnsi" w:hAnsiTheme="minorHAnsi" w:cstheme="minorHAnsi"/>
        </w:rPr>
      </w:pPr>
      <w:r w:rsidRPr="00EB1FBE">
        <w:rPr>
          <w:rFonts w:asciiTheme="minorHAnsi" w:hAnsiTheme="minorHAnsi" w:cstheme="minorHAnsi"/>
        </w:rPr>
        <w:t xml:space="preserve">Applicable measures should be in place to ensure power is </w:t>
      </w:r>
      <w:proofErr w:type="gramStart"/>
      <w:r w:rsidRPr="00EB1FBE">
        <w:rPr>
          <w:rFonts w:asciiTheme="minorHAnsi" w:hAnsiTheme="minorHAnsi" w:cstheme="minorHAnsi"/>
        </w:rPr>
        <w:t>maintained at all times</w:t>
      </w:r>
      <w:proofErr w:type="gramEnd"/>
      <w:r w:rsidRPr="00EB1FBE">
        <w:rPr>
          <w:rFonts w:asciiTheme="minorHAnsi" w:hAnsiTheme="minorHAnsi" w:cstheme="minorHAnsi"/>
        </w:rPr>
        <w:t>, including the provision of back-up power generation devices</w:t>
      </w:r>
      <w:r>
        <w:rPr>
          <w:rFonts w:asciiTheme="minorHAnsi" w:hAnsiTheme="minorHAnsi" w:cstheme="minorHAnsi"/>
        </w:rPr>
        <w:t>.</w:t>
      </w:r>
    </w:p>
    <w:p w14:paraId="689ABF61" w14:textId="77777777" w:rsidR="00EB1FBE" w:rsidRDefault="00EB1FBE" w:rsidP="00EB1FBE">
      <w:pPr>
        <w:spacing w:after="0"/>
        <w:jc w:val="both"/>
        <w:rPr>
          <w:rFonts w:asciiTheme="minorHAnsi" w:hAnsiTheme="minorHAnsi" w:cstheme="minorHAnsi"/>
        </w:rPr>
      </w:pPr>
    </w:p>
    <w:p w14:paraId="13ACD18B" w14:textId="77777777" w:rsidR="00EB1FBE" w:rsidRDefault="00EB1FBE" w:rsidP="00EB1FBE">
      <w:pPr>
        <w:pStyle w:val="Heading1"/>
      </w:pPr>
      <w:bookmarkStart w:id="32" w:name="_Toc89071578"/>
      <w:r>
        <w:lastRenderedPageBreak/>
        <w:t>Sinks</w:t>
      </w:r>
      <w:bookmarkEnd w:id="32"/>
    </w:p>
    <w:p w14:paraId="67EF8B26" w14:textId="77777777" w:rsidR="00EB1FBE" w:rsidRPr="00EB1FBE" w:rsidRDefault="00EB1FBE" w:rsidP="00EB1FBE">
      <w:pPr>
        <w:jc w:val="both"/>
        <w:rPr>
          <w:rFonts w:asciiTheme="minorHAnsi" w:hAnsiTheme="minorHAnsi" w:cstheme="minorHAnsi"/>
        </w:rPr>
      </w:pPr>
      <w:r w:rsidRPr="00EB1FBE">
        <w:rPr>
          <w:rFonts w:asciiTheme="minorHAnsi" w:hAnsiTheme="minorHAnsi" w:cstheme="minorHAnsi"/>
        </w:rPr>
        <w:t>The pharmacy department must have at least one sink with running hot and cold water dedicated to support hand hygiene practices.</w:t>
      </w:r>
    </w:p>
    <w:p w14:paraId="6BBA1FD9" w14:textId="77777777" w:rsidR="00EB1FBE" w:rsidRPr="00EB1FBE" w:rsidRDefault="00EB1FBE" w:rsidP="00EB1FBE">
      <w:pPr>
        <w:spacing w:after="0"/>
        <w:jc w:val="both"/>
        <w:rPr>
          <w:rFonts w:asciiTheme="minorHAnsi" w:hAnsiTheme="minorHAnsi" w:cstheme="minorHAnsi"/>
          <w:i/>
          <w:sz w:val="18"/>
          <w:szCs w:val="18"/>
        </w:rPr>
      </w:pPr>
      <w:r w:rsidRPr="00EB1FBE">
        <w:rPr>
          <w:rFonts w:asciiTheme="minorHAnsi" w:hAnsiTheme="minorHAnsi" w:cstheme="minorHAnsi"/>
          <w:i/>
          <w:sz w:val="18"/>
          <w:szCs w:val="18"/>
        </w:rPr>
        <w:t>Note: hand hygiene sinks must be separate, with dedicated water source and drainage, to sinks used for other purposes.</w:t>
      </w:r>
    </w:p>
    <w:p w14:paraId="5E64A903" w14:textId="77777777" w:rsidR="00EB1FBE" w:rsidRPr="00EB1FBE" w:rsidRDefault="00EB1FBE" w:rsidP="00EB1FBE">
      <w:pPr>
        <w:spacing w:after="0"/>
        <w:jc w:val="both"/>
        <w:rPr>
          <w:rFonts w:asciiTheme="minorHAnsi" w:hAnsiTheme="minorHAnsi" w:cstheme="minorHAnsi"/>
        </w:rPr>
      </w:pPr>
    </w:p>
    <w:p w14:paraId="56B4C88E"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If the pharmacy department has an area for staff breaks and meal preparation, this area must have a sink with hot and cold running water that is separate to the sink for hand hygiene practices.</w:t>
      </w:r>
    </w:p>
    <w:p w14:paraId="707EE213" w14:textId="77777777" w:rsidR="00EB1FBE" w:rsidRPr="00EB1FBE" w:rsidRDefault="00EB1FBE" w:rsidP="00EB1FBE">
      <w:pPr>
        <w:spacing w:after="0"/>
        <w:jc w:val="both"/>
        <w:rPr>
          <w:rFonts w:asciiTheme="minorHAnsi" w:hAnsiTheme="minorHAnsi" w:cstheme="minorHAnsi"/>
        </w:rPr>
      </w:pPr>
    </w:p>
    <w:p w14:paraId="4EB3E1B9"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 xml:space="preserve">Where the pharmacy produces medicines onsite, including the preparation of extemporaneous products, it must have a separate sink for the cleaning of medicines preparation equipment. </w:t>
      </w:r>
    </w:p>
    <w:p w14:paraId="65E7428F" w14:textId="77777777" w:rsidR="00EB1FBE" w:rsidRPr="00EB1FBE" w:rsidRDefault="00EB1FBE" w:rsidP="00EB1FBE">
      <w:pPr>
        <w:spacing w:after="0"/>
        <w:jc w:val="both"/>
        <w:rPr>
          <w:rFonts w:asciiTheme="minorHAnsi" w:hAnsiTheme="minorHAnsi" w:cstheme="minorHAnsi"/>
        </w:rPr>
      </w:pPr>
    </w:p>
    <w:p w14:paraId="73F1454F" w14:textId="77777777" w:rsidR="00EB1FBE" w:rsidRPr="00EB1FBE" w:rsidRDefault="00EB1FBE" w:rsidP="00EB1FBE">
      <w:pPr>
        <w:spacing w:after="0"/>
        <w:jc w:val="both"/>
        <w:rPr>
          <w:rFonts w:asciiTheme="minorHAnsi" w:hAnsiTheme="minorHAnsi" w:cstheme="minorHAnsi"/>
          <w:i/>
          <w:sz w:val="18"/>
          <w:szCs w:val="18"/>
        </w:rPr>
      </w:pPr>
      <w:r w:rsidRPr="00EB1FBE">
        <w:rPr>
          <w:rFonts w:asciiTheme="minorHAnsi" w:hAnsiTheme="minorHAnsi" w:cstheme="minorHAnsi"/>
          <w:i/>
          <w:sz w:val="18"/>
          <w:szCs w:val="18"/>
        </w:rPr>
        <w:t>Note: A double bowl sink, with one bowl restricted for cleaning of meal preparation equipment and the other for cleaning of medicines preparation equipment is considered acceptable providing the two bowls have separate draining areas, separate water sources and separate drainage points (including s-bends).</w:t>
      </w:r>
    </w:p>
    <w:p w14:paraId="09FCCDFB" w14:textId="77777777" w:rsidR="00EB1FBE" w:rsidRPr="00EB1FBE" w:rsidRDefault="00EB1FBE" w:rsidP="00EB1FBE">
      <w:pPr>
        <w:spacing w:after="0"/>
        <w:jc w:val="both"/>
        <w:rPr>
          <w:rFonts w:asciiTheme="minorHAnsi" w:hAnsiTheme="minorHAnsi" w:cstheme="minorHAnsi"/>
        </w:rPr>
      </w:pPr>
    </w:p>
    <w:p w14:paraId="4276C769" w14:textId="77777777" w:rsidR="00EB1FBE" w:rsidRDefault="00EB1FBE" w:rsidP="00CA04DB">
      <w:pPr>
        <w:pStyle w:val="ListParagraph"/>
        <w:ind w:hanging="11"/>
        <w:jc w:val="both"/>
        <w:rPr>
          <w:rFonts w:asciiTheme="minorHAnsi" w:hAnsiTheme="minorHAnsi" w:cstheme="minorHAnsi"/>
        </w:rPr>
      </w:pPr>
      <w:r w:rsidRPr="00EB1FBE">
        <w:rPr>
          <w:rFonts w:asciiTheme="minorHAnsi" w:hAnsiTheme="minorHAnsi" w:cstheme="minorHAnsi"/>
        </w:rPr>
        <w:t>Pharmacy departments must have access (within the building) to a cleaner’s sink, floor waste or other similar facility connected to drainage to dispose of mop water and other liquid waste.  Sinks used for the maintenance of floor cleaning equipment must be separate from those used for hand washing, food and medicines preparation. Facilities and chemicals for cleaning must be kept separate from pharmaceuticals.</w:t>
      </w:r>
    </w:p>
    <w:p w14:paraId="61CCEDF2" w14:textId="77777777" w:rsidR="00EB1FBE" w:rsidRDefault="00EB1FBE" w:rsidP="00EB1FBE">
      <w:pPr>
        <w:pStyle w:val="ListParagraph"/>
        <w:spacing w:after="0"/>
        <w:ind w:hanging="11"/>
        <w:jc w:val="both"/>
        <w:rPr>
          <w:rFonts w:asciiTheme="minorHAnsi" w:hAnsiTheme="minorHAnsi" w:cstheme="minorHAnsi"/>
        </w:rPr>
      </w:pPr>
    </w:p>
    <w:p w14:paraId="0DD13ED9" w14:textId="77777777" w:rsidR="00EB1FBE" w:rsidRDefault="00EB1FBE" w:rsidP="00EB1FBE">
      <w:pPr>
        <w:pStyle w:val="Heading1"/>
      </w:pPr>
      <w:bookmarkStart w:id="33" w:name="_Toc89071579"/>
      <w:r>
        <w:t>Hygiene and Pest Control</w:t>
      </w:r>
      <w:bookmarkEnd w:id="33"/>
    </w:p>
    <w:p w14:paraId="2F64CDD2"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The building must be constructed in a manner to minimise the ingress of debris.  Buildings and fixtures must be kept clean, tidy and well maintained.</w:t>
      </w:r>
    </w:p>
    <w:p w14:paraId="4938B39A" w14:textId="77777777" w:rsidR="00EB1FBE" w:rsidRPr="00EB1FBE" w:rsidRDefault="00EB1FBE" w:rsidP="00EB1FBE">
      <w:pPr>
        <w:spacing w:after="0"/>
        <w:jc w:val="both"/>
        <w:rPr>
          <w:rFonts w:asciiTheme="minorHAnsi" w:hAnsiTheme="minorHAnsi" w:cstheme="minorHAnsi"/>
        </w:rPr>
      </w:pPr>
    </w:p>
    <w:p w14:paraId="1F4EEB45" w14:textId="77777777" w:rsidR="00EB1FBE" w:rsidRPr="00EB1FBE" w:rsidRDefault="00EB1FBE" w:rsidP="00EB1FBE">
      <w:pPr>
        <w:spacing w:after="0"/>
        <w:jc w:val="both"/>
        <w:rPr>
          <w:rFonts w:asciiTheme="minorHAnsi" w:hAnsiTheme="minorHAnsi" w:cstheme="minorHAnsi"/>
        </w:rPr>
      </w:pPr>
      <w:r w:rsidRPr="00EB1FBE">
        <w:rPr>
          <w:rFonts w:asciiTheme="minorHAnsi" w:hAnsiTheme="minorHAnsi" w:cstheme="minorHAnsi"/>
        </w:rPr>
        <w:t>All cleaning equipment must be maintained to support hygiene and infection control.</w:t>
      </w:r>
    </w:p>
    <w:p w14:paraId="31A4851E" w14:textId="77777777" w:rsidR="00EB1FBE" w:rsidRPr="00EB1FBE" w:rsidRDefault="00EB1FBE" w:rsidP="00EB1FBE">
      <w:pPr>
        <w:spacing w:after="0"/>
        <w:jc w:val="both"/>
        <w:rPr>
          <w:rFonts w:asciiTheme="minorHAnsi" w:hAnsiTheme="minorHAnsi" w:cstheme="minorHAnsi"/>
        </w:rPr>
      </w:pPr>
    </w:p>
    <w:p w14:paraId="0F939B94" w14:textId="77777777" w:rsidR="00EB1FBE" w:rsidRDefault="00EB1FBE" w:rsidP="00EB1FBE">
      <w:pPr>
        <w:spacing w:after="0"/>
        <w:jc w:val="both"/>
        <w:rPr>
          <w:rFonts w:asciiTheme="minorHAnsi" w:hAnsiTheme="minorHAnsi" w:cstheme="minorHAnsi"/>
        </w:rPr>
      </w:pPr>
      <w:r w:rsidRPr="00EB1FBE">
        <w:rPr>
          <w:rFonts w:asciiTheme="minorHAnsi" w:hAnsiTheme="minorHAnsi" w:cstheme="minorHAnsi"/>
        </w:rPr>
        <w:t xml:space="preserve">The building must be constructed and maintained to minimise entry of rodents, vermin, birds and pests.  Animals including pets are not permitted in the pharmacy, </w:t>
      </w:r>
      <w:proofErr w:type="gramStart"/>
      <w:r w:rsidRPr="00EB1FBE">
        <w:rPr>
          <w:rFonts w:asciiTheme="minorHAnsi" w:hAnsiTheme="minorHAnsi" w:cstheme="minorHAnsi"/>
        </w:rPr>
        <w:t>with the exception of</w:t>
      </w:r>
      <w:proofErr w:type="gramEnd"/>
      <w:r w:rsidRPr="00EB1FBE">
        <w:rPr>
          <w:rFonts w:asciiTheme="minorHAnsi" w:hAnsiTheme="minorHAnsi" w:cstheme="minorHAnsi"/>
        </w:rPr>
        <w:t xml:space="preserve"> guide dogs and other assistance animals. </w:t>
      </w:r>
    </w:p>
    <w:p w14:paraId="2CC441C7" w14:textId="77777777" w:rsidR="00630E95" w:rsidRDefault="00630E95" w:rsidP="00EB1FBE">
      <w:pPr>
        <w:spacing w:after="0"/>
        <w:jc w:val="both"/>
        <w:rPr>
          <w:rFonts w:asciiTheme="minorHAnsi" w:hAnsiTheme="minorHAnsi" w:cstheme="minorHAnsi"/>
        </w:rPr>
      </w:pPr>
    </w:p>
    <w:p w14:paraId="001C2DF0" w14:textId="77777777" w:rsidR="00563AA2" w:rsidRDefault="00563AA2" w:rsidP="00EB1FBE">
      <w:pPr>
        <w:spacing w:after="0"/>
        <w:jc w:val="both"/>
        <w:rPr>
          <w:rFonts w:asciiTheme="minorHAnsi" w:hAnsiTheme="minorHAnsi" w:cstheme="minorHAnsi"/>
        </w:rPr>
      </w:pPr>
    </w:p>
    <w:p w14:paraId="541AFDF8" w14:textId="77777777" w:rsidR="00EB1FBE" w:rsidRDefault="00EB1FBE" w:rsidP="00563AA2">
      <w:pPr>
        <w:pStyle w:val="Heading1"/>
        <w:spacing w:before="0"/>
      </w:pPr>
      <w:bookmarkStart w:id="34" w:name="_Toc89071580"/>
      <w:r>
        <w:t>Medicines Storage</w:t>
      </w:r>
      <w:bookmarkEnd w:id="34"/>
    </w:p>
    <w:p w14:paraId="2A8DEC43" w14:textId="77777777" w:rsidR="00EB1FBE" w:rsidRPr="00EB1FBE" w:rsidRDefault="00EB1FBE" w:rsidP="00EB1FBE">
      <w:pPr>
        <w:rPr>
          <w:rFonts w:asciiTheme="minorHAnsi" w:hAnsiTheme="minorHAnsi" w:cstheme="minorHAnsi"/>
        </w:rPr>
      </w:pPr>
      <w:r w:rsidRPr="00EB1FBE">
        <w:rPr>
          <w:rFonts w:asciiTheme="minorHAnsi" w:hAnsiTheme="minorHAnsi" w:cstheme="minorHAnsi"/>
        </w:rPr>
        <w:t>All scheduled medicines must be stored according to the manufacturers’ guidelines.</w:t>
      </w:r>
    </w:p>
    <w:p w14:paraId="21AD8E0C" w14:textId="77777777" w:rsidR="00EB1FBE" w:rsidRPr="00EB1FBE" w:rsidRDefault="00EB1FBE" w:rsidP="00EB1FBE">
      <w:pPr>
        <w:rPr>
          <w:rFonts w:asciiTheme="minorHAnsi" w:hAnsiTheme="minorHAnsi" w:cstheme="minorHAnsi"/>
        </w:rPr>
      </w:pPr>
      <w:r w:rsidRPr="00EB1FBE">
        <w:rPr>
          <w:rFonts w:asciiTheme="minorHAnsi" w:hAnsiTheme="minorHAnsi" w:cstheme="minorHAnsi"/>
        </w:rPr>
        <w:t>Bulk storage of scheduled medicines, kept outside of the pharmacy department must meet the same security, access, supervision and temperature control standards as the pharmacy department.</w:t>
      </w:r>
    </w:p>
    <w:p w14:paraId="1A2F35AF" w14:textId="77777777" w:rsidR="00EB1FBE" w:rsidRDefault="00EB1FBE" w:rsidP="00563AA2">
      <w:pPr>
        <w:spacing w:after="0"/>
        <w:rPr>
          <w:rFonts w:asciiTheme="minorHAnsi" w:hAnsiTheme="minorHAnsi" w:cstheme="minorHAnsi"/>
        </w:rPr>
      </w:pPr>
      <w:r w:rsidRPr="00EB1FBE">
        <w:rPr>
          <w:rFonts w:asciiTheme="minorHAnsi" w:hAnsiTheme="minorHAnsi" w:cstheme="minorHAnsi"/>
        </w:rPr>
        <w:t>Storerooms containing scheduled medicines in a location separate to the pharmacy department must be approved by the Committee.</w:t>
      </w:r>
    </w:p>
    <w:p w14:paraId="202B2D74" w14:textId="77777777" w:rsidR="00EB1FBE" w:rsidRDefault="00EB1FBE" w:rsidP="00EB1FBE">
      <w:pPr>
        <w:spacing w:after="0"/>
        <w:rPr>
          <w:rFonts w:asciiTheme="minorHAnsi" w:hAnsiTheme="minorHAnsi" w:cstheme="minorHAnsi"/>
        </w:rPr>
      </w:pPr>
    </w:p>
    <w:p w14:paraId="337B7B6E" w14:textId="77777777" w:rsidR="00563AA2" w:rsidRDefault="00563AA2" w:rsidP="00EB1FBE">
      <w:pPr>
        <w:spacing w:after="0"/>
        <w:rPr>
          <w:rFonts w:asciiTheme="minorHAnsi" w:hAnsiTheme="minorHAnsi" w:cstheme="minorHAnsi"/>
        </w:rPr>
      </w:pPr>
    </w:p>
    <w:p w14:paraId="233AFEF5" w14:textId="77777777" w:rsidR="00674253" w:rsidRDefault="00674253" w:rsidP="00EB1FBE">
      <w:pPr>
        <w:spacing w:after="0"/>
        <w:rPr>
          <w:rFonts w:asciiTheme="minorHAnsi" w:hAnsiTheme="minorHAnsi" w:cstheme="minorHAnsi"/>
        </w:rPr>
      </w:pPr>
    </w:p>
    <w:p w14:paraId="2953C83C" w14:textId="77777777" w:rsidR="00674253" w:rsidRDefault="00674253" w:rsidP="00EB1FBE">
      <w:pPr>
        <w:spacing w:after="0"/>
        <w:rPr>
          <w:rFonts w:asciiTheme="minorHAnsi" w:hAnsiTheme="minorHAnsi" w:cstheme="minorHAnsi"/>
        </w:rPr>
      </w:pPr>
    </w:p>
    <w:p w14:paraId="0E35675D" w14:textId="77777777" w:rsidR="00674253" w:rsidRDefault="00674253" w:rsidP="00EB1FBE">
      <w:pPr>
        <w:spacing w:after="0"/>
        <w:rPr>
          <w:rFonts w:asciiTheme="minorHAnsi" w:hAnsiTheme="minorHAnsi" w:cstheme="minorHAnsi"/>
        </w:rPr>
      </w:pPr>
    </w:p>
    <w:p w14:paraId="31CB0BCA" w14:textId="77777777" w:rsidR="00674253" w:rsidRDefault="00674253" w:rsidP="00EB1FBE">
      <w:pPr>
        <w:spacing w:after="0"/>
        <w:rPr>
          <w:rFonts w:asciiTheme="minorHAnsi" w:hAnsiTheme="minorHAnsi" w:cstheme="minorHAnsi"/>
        </w:rPr>
      </w:pPr>
    </w:p>
    <w:p w14:paraId="55901647" w14:textId="77777777" w:rsidR="00674253" w:rsidRDefault="00674253" w:rsidP="00EB1FBE">
      <w:pPr>
        <w:spacing w:after="0"/>
        <w:rPr>
          <w:rFonts w:asciiTheme="minorHAnsi" w:hAnsiTheme="minorHAnsi" w:cstheme="minorHAnsi"/>
        </w:rPr>
      </w:pPr>
    </w:p>
    <w:p w14:paraId="13B39017" w14:textId="77777777" w:rsidR="00674253" w:rsidRDefault="00674253" w:rsidP="00EB1FBE">
      <w:pPr>
        <w:spacing w:after="0"/>
        <w:rPr>
          <w:rFonts w:asciiTheme="minorHAnsi" w:hAnsiTheme="minorHAnsi" w:cstheme="minorHAnsi"/>
        </w:rPr>
      </w:pPr>
    </w:p>
    <w:p w14:paraId="6AAB8437" w14:textId="77777777" w:rsidR="00EB1FBE" w:rsidRDefault="007E2470" w:rsidP="00563AA2">
      <w:pPr>
        <w:pStyle w:val="Heading1"/>
        <w:spacing w:before="0"/>
      </w:pPr>
      <w:bookmarkStart w:id="35" w:name="_Toc89071581"/>
      <w:r>
        <w:lastRenderedPageBreak/>
        <w:t>Opioid Pharmacotherapy Program (OPP)</w:t>
      </w:r>
      <w:bookmarkEnd w:id="35"/>
    </w:p>
    <w:p w14:paraId="50FC2538" w14:textId="77777777" w:rsidR="007E2470" w:rsidRPr="007E2470" w:rsidRDefault="007E2470" w:rsidP="007E2470">
      <w:pPr>
        <w:jc w:val="both"/>
        <w:rPr>
          <w:rFonts w:asciiTheme="minorHAnsi" w:hAnsiTheme="minorHAnsi" w:cstheme="minorHAnsi"/>
        </w:rPr>
      </w:pPr>
      <w:r w:rsidRPr="007E2470">
        <w:rPr>
          <w:rFonts w:asciiTheme="minorHAnsi" w:hAnsiTheme="minorHAnsi" w:cstheme="minorHAnsi"/>
        </w:rPr>
        <w:t>Where a pharmacy department provides treatment to more than 20 clients per day it must have a designated area exclusively to dose clients.  This area must:</w:t>
      </w:r>
    </w:p>
    <w:p w14:paraId="742CBD1E" w14:textId="77777777" w:rsidR="007E2470" w:rsidRPr="007E2470" w:rsidRDefault="007E2470" w:rsidP="000F5DE6">
      <w:pPr>
        <w:pStyle w:val="ListParagraph"/>
        <w:numPr>
          <w:ilvl w:val="0"/>
          <w:numId w:val="25"/>
        </w:numPr>
        <w:spacing w:after="0"/>
        <w:contextualSpacing/>
        <w:jc w:val="both"/>
        <w:rPr>
          <w:rFonts w:asciiTheme="minorHAnsi" w:hAnsiTheme="minorHAnsi" w:cstheme="minorHAnsi"/>
        </w:rPr>
      </w:pPr>
      <w:r>
        <w:rPr>
          <w:rFonts w:asciiTheme="minorHAnsi" w:hAnsiTheme="minorHAnsi" w:cstheme="minorHAnsi"/>
        </w:rPr>
        <w:t>M</w:t>
      </w:r>
      <w:r w:rsidRPr="007E2470">
        <w:rPr>
          <w:rFonts w:asciiTheme="minorHAnsi" w:hAnsiTheme="minorHAnsi" w:cstheme="minorHAnsi"/>
        </w:rPr>
        <w:t xml:space="preserve">eet requirements for security, lighting and temperature </w:t>
      </w:r>
      <w:proofErr w:type="gramStart"/>
      <w:r w:rsidRPr="007E2470">
        <w:rPr>
          <w:rFonts w:asciiTheme="minorHAnsi" w:hAnsiTheme="minorHAnsi" w:cstheme="minorHAnsi"/>
        </w:rPr>
        <w:t>control;</w:t>
      </w:r>
      <w:proofErr w:type="gramEnd"/>
      <w:r w:rsidRPr="007E2470">
        <w:rPr>
          <w:rFonts w:asciiTheme="minorHAnsi" w:hAnsiTheme="minorHAnsi" w:cstheme="minorHAnsi"/>
        </w:rPr>
        <w:t xml:space="preserve"> </w:t>
      </w:r>
    </w:p>
    <w:p w14:paraId="736017B0" w14:textId="77777777" w:rsidR="007E2470" w:rsidRPr="007E2470" w:rsidRDefault="007E2470" w:rsidP="000F5DE6">
      <w:pPr>
        <w:pStyle w:val="ListParagraph"/>
        <w:numPr>
          <w:ilvl w:val="0"/>
          <w:numId w:val="25"/>
        </w:numPr>
        <w:spacing w:before="120" w:after="0"/>
        <w:contextualSpacing/>
        <w:jc w:val="both"/>
        <w:rPr>
          <w:rFonts w:asciiTheme="minorHAnsi" w:hAnsiTheme="minorHAnsi" w:cstheme="minorHAnsi"/>
        </w:rPr>
      </w:pPr>
      <w:r>
        <w:rPr>
          <w:rFonts w:asciiTheme="minorHAnsi" w:hAnsiTheme="minorHAnsi" w:cstheme="minorHAnsi"/>
        </w:rPr>
        <w:t>P</w:t>
      </w:r>
      <w:r w:rsidRPr="007E2470">
        <w:rPr>
          <w:rFonts w:asciiTheme="minorHAnsi" w:hAnsiTheme="minorHAnsi" w:cstheme="minorHAnsi"/>
        </w:rPr>
        <w:t xml:space="preserve">rotect the privacy of OPP </w:t>
      </w:r>
      <w:proofErr w:type="gramStart"/>
      <w:r w:rsidRPr="007E2470">
        <w:rPr>
          <w:rFonts w:asciiTheme="minorHAnsi" w:hAnsiTheme="minorHAnsi" w:cstheme="minorHAnsi"/>
        </w:rPr>
        <w:t>clients;</w:t>
      </w:r>
      <w:proofErr w:type="gramEnd"/>
    </w:p>
    <w:p w14:paraId="4879BB70" w14:textId="77777777" w:rsidR="007E2470" w:rsidRPr="007E2470" w:rsidRDefault="007E2470" w:rsidP="000F5DE6">
      <w:pPr>
        <w:pStyle w:val="ListParagraph"/>
        <w:numPr>
          <w:ilvl w:val="0"/>
          <w:numId w:val="25"/>
        </w:numPr>
        <w:spacing w:before="120" w:after="0"/>
        <w:contextualSpacing/>
        <w:jc w:val="both"/>
        <w:rPr>
          <w:rFonts w:asciiTheme="minorHAnsi" w:hAnsiTheme="minorHAnsi" w:cstheme="minorHAnsi"/>
        </w:rPr>
      </w:pPr>
      <w:r>
        <w:rPr>
          <w:rFonts w:asciiTheme="minorHAnsi" w:hAnsiTheme="minorHAnsi" w:cstheme="minorHAnsi"/>
        </w:rPr>
        <w:t>B</w:t>
      </w:r>
      <w:r w:rsidRPr="007E2470">
        <w:rPr>
          <w:rFonts w:asciiTheme="minorHAnsi" w:hAnsiTheme="minorHAnsi" w:cstheme="minorHAnsi"/>
        </w:rPr>
        <w:t xml:space="preserve">e fitted with a safe for the storage of OPP </w:t>
      </w:r>
      <w:proofErr w:type="gramStart"/>
      <w:r w:rsidRPr="007E2470">
        <w:rPr>
          <w:rFonts w:asciiTheme="minorHAnsi" w:hAnsiTheme="minorHAnsi" w:cstheme="minorHAnsi"/>
        </w:rPr>
        <w:t>medicines;</w:t>
      </w:r>
      <w:proofErr w:type="gramEnd"/>
    </w:p>
    <w:p w14:paraId="0118A550" w14:textId="77777777" w:rsidR="007E2470" w:rsidRPr="007E2470" w:rsidRDefault="007E2470" w:rsidP="000F5DE6">
      <w:pPr>
        <w:pStyle w:val="ListParagraph"/>
        <w:numPr>
          <w:ilvl w:val="0"/>
          <w:numId w:val="25"/>
        </w:numPr>
        <w:spacing w:before="120" w:after="0"/>
        <w:contextualSpacing/>
        <w:jc w:val="both"/>
        <w:rPr>
          <w:rFonts w:asciiTheme="minorHAnsi" w:hAnsiTheme="minorHAnsi" w:cstheme="minorHAnsi"/>
        </w:rPr>
      </w:pPr>
      <w:r>
        <w:rPr>
          <w:rFonts w:asciiTheme="minorHAnsi" w:hAnsiTheme="minorHAnsi" w:cstheme="minorHAnsi"/>
        </w:rPr>
        <w:t>H</w:t>
      </w:r>
      <w:r w:rsidRPr="007E2470">
        <w:rPr>
          <w:rFonts w:asciiTheme="minorHAnsi" w:hAnsiTheme="minorHAnsi" w:cstheme="minorHAnsi"/>
        </w:rPr>
        <w:t>ave lockable storage for client records; and</w:t>
      </w:r>
    </w:p>
    <w:p w14:paraId="298A9793" w14:textId="77777777" w:rsidR="007E2470" w:rsidRPr="007E2470" w:rsidRDefault="007E2470" w:rsidP="000F5DE6">
      <w:pPr>
        <w:pStyle w:val="ListParagraph"/>
        <w:numPr>
          <w:ilvl w:val="0"/>
          <w:numId w:val="25"/>
        </w:numPr>
        <w:spacing w:before="120" w:after="0"/>
        <w:contextualSpacing/>
        <w:jc w:val="both"/>
        <w:rPr>
          <w:rFonts w:asciiTheme="minorHAnsi" w:hAnsiTheme="minorHAnsi" w:cstheme="minorHAnsi"/>
        </w:rPr>
      </w:pPr>
      <w:r>
        <w:rPr>
          <w:rFonts w:asciiTheme="minorHAnsi" w:hAnsiTheme="minorHAnsi" w:cstheme="minorHAnsi"/>
        </w:rPr>
        <w:t>C</w:t>
      </w:r>
      <w:r w:rsidRPr="007E2470">
        <w:rPr>
          <w:rFonts w:asciiTheme="minorHAnsi" w:hAnsiTheme="minorHAnsi" w:cstheme="minorHAnsi"/>
        </w:rPr>
        <w:t xml:space="preserve">ontain suitable storage </w:t>
      </w:r>
      <w:r>
        <w:rPr>
          <w:rFonts w:asciiTheme="minorHAnsi" w:hAnsiTheme="minorHAnsi" w:cstheme="minorHAnsi"/>
        </w:rPr>
        <w:t>and</w:t>
      </w:r>
      <w:r w:rsidRPr="007E2470">
        <w:rPr>
          <w:rFonts w:asciiTheme="minorHAnsi" w:hAnsiTheme="minorHAnsi" w:cstheme="minorHAnsi"/>
        </w:rPr>
        <w:t xml:space="preserve"> equipment necessary for </w:t>
      </w:r>
      <w:r>
        <w:rPr>
          <w:rFonts w:asciiTheme="minorHAnsi" w:hAnsiTheme="minorHAnsi" w:cstheme="minorHAnsi"/>
        </w:rPr>
        <w:t xml:space="preserve">the </w:t>
      </w:r>
      <w:r w:rsidRPr="007E2470">
        <w:rPr>
          <w:rFonts w:asciiTheme="minorHAnsi" w:hAnsiTheme="minorHAnsi" w:cstheme="minorHAnsi"/>
        </w:rPr>
        <w:t>provision of this service.</w:t>
      </w:r>
    </w:p>
    <w:p w14:paraId="44E5AE02" w14:textId="77777777" w:rsidR="007E2470" w:rsidRPr="007E2470" w:rsidRDefault="007E2470" w:rsidP="007E2470">
      <w:pPr>
        <w:spacing w:after="0"/>
        <w:jc w:val="both"/>
        <w:rPr>
          <w:rFonts w:asciiTheme="minorHAnsi" w:hAnsiTheme="minorHAnsi" w:cstheme="minorHAnsi"/>
        </w:rPr>
      </w:pPr>
    </w:p>
    <w:p w14:paraId="3A514C45" w14:textId="77777777" w:rsidR="007E2470" w:rsidRPr="007E2470" w:rsidRDefault="007E2470" w:rsidP="007E2470">
      <w:pPr>
        <w:spacing w:after="0"/>
        <w:jc w:val="both"/>
        <w:rPr>
          <w:rFonts w:asciiTheme="minorHAnsi" w:hAnsiTheme="minorHAnsi" w:cstheme="minorHAnsi"/>
        </w:rPr>
      </w:pPr>
      <w:r w:rsidRPr="007E2470">
        <w:rPr>
          <w:rFonts w:asciiTheme="minorHAnsi" w:hAnsiTheme="minorHAnsi" w:cstheme="minorHAnsi"/>
        </w:rPr>
        <w:t xml:space="preserve">Where the pharmacy department provides treatment for less than 20 clients per day, the same requirements must be met, but the counselling area may be used for the dosing of patients. </w:t>
      </w:r>
    </w:p>
    <w:p w14:paraId="5BE7C470" w14:textId="77777777" w:rsidR="007E2470" w:rsidRPr="007E2470" w:rsidRDefault="007E2470" w:rsidP="007E2470">
      <w:pPr>
        <w:spacing w:after="0"/>
        <w:jc w:val="both"/>
      </w:pPr>
    </w:p>
    <w:p w14:paraId="6567E091" w14:textId="77777777" w:rsidR="007E2470" w:rsidRPr="001326EA" w:rsidRDefault="007E2470" w:rsidP="007E2470">
      <w:pPr>
        <w:spacing w:after="0"/>
        <w:jc w:val="both"/>
        <w:rPr>
          <w:rFonts w:asciiTheme="minorHAnsi" w:hAnsiTheme="minorHAnsi" w:cstheme="minorHAnsi"/>
          <w:i/>
          <w:sz w:val="20"/>
          <w:szCs w:val="20"/>
        </w:rPr>
      </w:pPr>
      <w:r w:rsidRPr="001326EA">
        <w:rPr>
          <w:rFonts w:asciiTheme="minorHAnsi" w:hAnsiTheme="minorHAnsi" w:cstheme="minorHAnsi"/>
          <w:i/>
          <w:sz w:val="20"/>
          <w:szCs w:val="20"/>
        </w:rPr>
        <w:t>Note: Dedicated clinics providing opiate pharmacotherapy services on hospital grounds are outside the scope of this standard</w:t>
      </w:r>
      <w:r>
        <w:rPr>
          <w:rFonts w:asciiTheme="minorHAnsi" w:hAnsiTheme="minorHAnsi" w:cstheme="minorHAnsi"/>
          <w:i/>
          <w:sz w:val="20"/>
          <w:szCs w:val="20"/>
        </w:rPr>
        <w:t>.</w:t>
      </w:r>
    </w:p>
    <w:p w14:paraId="5D1EF962" w14:textId="77777777" w:rsidR="007E2470" w:rsidRDefault="007E2470" w:rsidP="00674253">
      <w:pPr>
        <w:spacing w:after="0"/>
      </w:pPr>
    </w:p>
    <w:p w14:paraId="08521539" w14:textId="77777777" w:rsidR="00674253" w:rsidRPr="007E2470" w:rsidRDefault="00674253" w:rsidP="00674253">
      <w:pPr>
        <w:spacing w:after="0"/>
      </w:pPr>
    </w:p>
    <w:p w14:paraId="5004DF68" w14:textId="77777777" w:rsidR="00EB1FBE" w:rsidRPr="00EB1FBE" w:rsidRDefault="007E2470" w:rsidP="00674253">
      <w:pPr>
        <w:pStyle w:val="Heading1"/>
        <w:spacing w:before="0"/>
      </w:pPr>
      <w:bookmarkStart w:id="36" w:name="_Toc89071582"/>
      <w:r>
        <w:t>Acknowledgements</w:t>
      </w:r>
      <w:bookmarkEnd w:id="36"/>
    </w:p>
    <w:p w14:paraId="65FB7F5B" w14:textId="77777777" w:rsidR="007E2470" w:rsidRPr="007E2470" w:rsidRDefault="007E2470" w:rsidP="007E2470">
      <w:pPr>
        <w:spacing w:after="0"/>
        <w:jc w:val="both"/>
        <w:rPr>
          <w:rFonts w:asciiTheme="minorHAnsi" w:hAnsiTheme="minorHAnsi" w:cstheme="minorHAnsi"/>
        </w:rPr>
      </w:pPr>
      <w:r w:rsidRPr="007E2470">
        <w:rPr>
          <w:rFonts w:asciiTheme="minorHAnsi" w:hAnsiTheme="minorHAnsi" w:cstheme="minorHAnsi"/>
        </w:rPr>
        <w:t>This standard was developed with reference to:</w:t>
      </w:r>
    </w:p>
    <w:p w14:paraId="7C51B972"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Victorian Pharmacy Authority Guidelines, The Victorian Pharmacy Authority, 20</w:t>
      </w:r>
      <w:r w:rsidR="0025634F">
        <w:rPr>
          <w:rFonts w:asciiTheme="minorHAnsi" w:hAnsiTheme="minorHAnsi" w:cstheme="minorHAnsi"/>
        </w:rPr>
        <w:t>21</w:t>
      </w:r>
      <w:r w:rsidRPr="007E2470">
        <w:rPr>
          <w:rFonts w:asciiTheme="minorHAnsi" w:hAnsiTheme="minorHAnsi" w:cstheme="minorHAnsi"/>
        </w:rPr>
        <w:t>.</w:t>
      </w:r>
    </w:p>
    <w:p w14:paraId="66444020"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NT DoH, Hospital Services Capability Framework, 5 February 2014.</w:t>
      </w:r>
    </w:p>
    <w:p w14:paraId="635CF340"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 xml:space="preserve">Pharmacy Guidelines, Pharmacy Regulation Authority of South Australia. </w:t>
      </w:r>
    </w:p>
    <w:p w14:paraId="7FECC01A"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Australian Code of Good Wholesaling Practice of Medicines in Schedules 2, 3, 4 and 8, The Therapeutic Goods Administration 2011.</w:t>
      </w:r>
    </w:p>
    <w:p w14:paraId="3892AE31"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PSA Guidelines and standards for pharmacists, dose administration aids service.</w:t>
      </w:r>
    </w:p>
    <w:p w14:paraId="6E31544E"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SHPA Case-mix Working Party, Definitions 1996, Definitions for Hospital Pharmacy Services.</w:t>
      </w:r>
    </w:p>
    <w:p w14:paraId="757C319D"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National Vaccine Storage Guidelines (Strive for 5); The Australia Government, Department of Health and Aging</w:t>
      </w:r>
      <w:r w:rsidR="0025634F">
        <w:rPr>
          <w:rFonts w:asciiTheme="minorHAnsi" w:hAnsiTheme="minorHAnsi" w:cstheme="minorHAnsi"/>
        </w:rPr>
        <w:t xml:space="preserve"> – online version</w:t>
      </w:r>
      <w:r w:rsidRPr="007E2470">
        <w:rPr>
          <w:rFonts w:asciiTheme="minorHAnsi" w:hAnsiTheme="minorHAnsi" w:cstheme="minorHAnsi"/>
        </w:rPr>
        <w:t>.</w:t>
      </w:r>
    </w:p>
    <w:p w14:paraId="388848D9"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Code of Practice for the Storage and Transport of Schedule 8 Substances, Northern Te</w:t>
      </w:r>
      <w:r w:rsidR="0025634F">
        <w:rPr>
          <w:rFonts w:asciiTheme="minorHAnsi" w:hAnsiTheme="minorHAnsi" w:cstheme="minorHAnsi"/>
        </w:rPr>
        <w:t>rritory Department of Health – online edition</w:t>
      </w:r>
      <w:r w:rsidRPr="007E2470">
        <w:rPr>
          <w:rFonts w:asciiTheme="minorHAnsi" w:hAnsiTheme="minorHAnsi" w:cstheme="minorHAnsi"/>
        </w:rPr>
        <w:t>.</w:t>
      </w:r>
    </w:p>
    <w:p w14:paraId="5F5F8D90" w14:textId="77777777" w:rsidR="007E2470" w:rsidRPr="007E2470" w:rsidRDefault="007E2470" w:rsidP="000F5DE6">
      <w:pPr>
        <w:pStyle w:val="ListParagraph"/>
        <w:numPr>
          <w:ilvl w:val="0"/>
          <w:numId w:val="24"/>
        </w:numPr>
        <w:spacing w:before="120" w:after="0"/>
        <w:contextualSpacing/>
        <w:jc w:val="both"/>
        <w:rPr>
          <w:rFonts w:asciiTheme="minorHAnsi" w:hAnsiTheme="minorHAnsi" w:cstheme="minorHAnsi"/>
        </w:rPr>
      </w:pPr>
      <w:r w:rsidRPr="007E2470">
        <w:rPr>
          <w:rFonts w:asciiTheme="minorHAnsi" w:hAnsiTheme="minorHAnsi" w:cstheme="minorHAnsi"/>
        </w:rPr>
        <w:t>SHPA Managing Risk in the Manufacture of Oncology Drugs.</w:t>
      </w:r>
    </w:p>
    <w:p w14:paraId="6FC6BA41" w14:textId="77777777" w:rsidR="007E2470" w:rsidRPr="007E2470" w:rsidRDefault="007E2470" w:rsidP="000F5DE6">
      <w:pPr>
        <w:pStyle w:val="ListParagraph"/>
        <w:numPr>
          <w:ilvl w:val="0"/>
          <w:numId w:val="24"/>
        </w:numPr>
        <w:spacing w:before="120" w:after="0"/>
        <w:contextualSpacing/>
        <w:jc w:val="both"/>
      </w:pPr>
      <w:r w:rsidRPr="0025634F">
        <w:rPr>
          <w:rFonts w:asciiTheme="minorHAnsi" w:hAnsiTheme="minorHAnsi" w:cstheme="minorHAnsi"/>
          <w:i/>
        </w:rPr>
        <w:t>Radiation Protection Act 2012</w:t>
      </w:r>
      <w:r w:rsidRPr="007E2470">
        <w:rPr>
          <w:rFonts w:asciiTheme="minorHAnsi" w:hAnsiTheme="minorHAnsi" w:cstheme="minorHAnsi"/>
        </w:rPr>
        <w:t>.</w:t>
      </w:r>
    </w:p>
    <w:p w14:paraId="35E453DD" w14:textId="77777777" w:rsidR="00EB1FBE" w:rsidRPr="007E2470" w:rsidRDefault="007E2470" w:rsidP="000F5DE6">
      <w:pPr>
        <w:pStyle w:val="ListParagraph"/>
        <w:numPr>
          <w:ilvl w:val="0"/>
          <w:numId w:val="24"/>
        </w:numPr>
        <w:spacing w:after="0"/>
        <w:contextualSpacing/>
        <w:jc w:val="both"/>
      </w:pPr>
      <w:r w:rsidRPr="007E2470">
        <w:rPr>
          <w:rFonts w:asciiTheme="minorHAnsi" w:hAnsiTheme="minorHAnsi" w:cstheme="minorHAnsi"/>
        </w:rPr>
        <w:t xml:space="preserve">NT </w:t>
      </w:r>
      <w:proofErr w:type="spellStart"/>
      <w:r w:rsidRPr="007E2470">
        <w:rPr>
          <w:rFonts w:asciiTheme="minorHAnsi" w:hAnsiTheme="minorHAnsi" w:cstheme="minorHAnsi"/>
        </w:rPr>
        <w:t>Worksafe</w:t>
      </w:r>
      <w:proofErr w:type="spellEnd"/>
      <w:r w:rsidRPr="007E2470">
        <w:rPr>
          <w:rFonts w:asciiTheme="minorHAnsi" w:hAnsiTheme="minorHAnsi" w:cstheme="minorHAnsi"/>
        </w:rPr>
        <w:t>: Managing the work environment and facilities, 20</w:t>
      </w:r>
      <w:r w:rsidR="0025634F">
        <w:rPr>
          <w:rFonts w:asciiTheme="minorHAnsi" w:hAnsiTheme="minorHAnsi" w:cstheme="minorHAnsi"/>
        </w:rPr>
        <w:t>20</w:t>
      </w:r>
      <w:r w:rsidRPr="007E2470">
        <w:rPr>
          <w:rFonts w:asciiTheme="minorHAnsi" w:hAnsiTheme="minorHAnsi" w:cstheme="minorHAnsi"/>
        </w:rPr>
        <w:t>.</w:t>
      </w:r>
    </w:p>
    <w:p w14:paraId="13720FB1" w14:textId="77777777" w:rsidR="007E2470" w:rsidRDefault="007E2470" w:rsidP="00674253">
      <w:pPr>
        <w:spacing w:after="0"/>
        <w:contextualSpacing/>
        <w:jc w:val="both"/>
      </w:pPr>
    </w:p>
    <w:p w14:paraId="19D0BAF1" w14:textId="77777777" w:rsidR="00674253" w:rsidRDefault="00674253" w:rsidP="00674253">
      <w:pPr>
        <w:spacing w:after="0"/>
        <w:contextualSpacing/>
        <w:jc w:val="both"/>
      </w:pPr>
    </w:p>
    <w:p w14:paraId="77A06785" w14:textId="77777777" w:rsidR="007E2470" w:rsidRDefault="007E2470" w:rsidP="00674253">
      <w:pPr>
        <w:pStyle w:val="Heading1"/>
        <w:spacing w:before="0"/>
      </w:pPr>
      <w:bookmarkStart w:id="37" w:name="_Toc89071583"/>
      <w:r>
        <w:t>Disclaimer</w:t>
      </w:r>
      <w:bookmarkEnd w:id="37"/>
    </w:p>
    <w:p w14:paraId="5FB04D74" w14:textId="77777777" w:rsidR="00D34D0C" w:rsidRDefault="007E2470" w:rsidP="00674253">
      <w:pPr>
        <w:spacing w:after="0"/>
      </w:pPr>
      <w:r>
        <w:t>In case of any conflict or discrepancy between this document and legislation – the legislation prevails.</w:t>
      </w:r>
    </w:p>
    <w:p w14:paraId="099849F7" w14:textId="77777777" w:rsidR="00D34D0C" w:rsidRDefault="00D34D0C" w:rsidP="007E2470"/>
    <w:p w14:paraId="325A2EA5" w14:textId="77777777" w:rsidR="00674253" w:rsidRDefault="00674253" w:rsidP="007E2470"/>
    <w:p w14:paraId="48BC4655" w14:textId="77777777" w:rsidR="00674253" w:rsidRDefault="00674253" w:rsidP="007E2470"/>
    <w:p w14:paraId="79E31546" w14:textId="77777777" w:rsidR="00674253" w:rsidRDefault="00674253" w:rsidP="007E2470"/>
    <w:p w14:paraId="17B41BF0" w14:textId="77777777" w:rsidR="00674253" w:rsidRDefault="00674253" w:rsidP="007E2470"/>
    <w:p w14:paraId="73A08340" w14:textId="77777777" w:rsidR="00674253" w:rsidRDefault="00674253" w:rsidP="007E2470"/>
    <w:p w14:paraId="6FD82FE0" w14:textId="77777777" w:rsidR="00674253" w:rsidRDefault="00674253" w:rsidP="007E2470"/>
    <w:p w14:paraId="53B18781" w14:textId="77777777" w:rsidR="00D34D0C" w:rsidRPr="005862A3" w:rsidRDefault="00D34D0C" w:rsidP="00D34D0C">
      <w:pPr>
        <w:pStyle w:val="Heading1"/>
        <w:numPr>
          <w:ilvl w:val="0"/>
          <w:numId w:val="0"/>
        </w:numPr>
      </w:pPr>
      <w:bookmarkStart w:id="38" w:name="_Toc89071584"/>
      <w:r w:rsidRPr="005862A3">
        <w:lastRenderedPageBreak/>
        <w:t>Appendix A</w:t>
      </w:r>
      <w:r>
        <w:t xml:space="preserve">: </w:t>
      </w:r>
      <w:r w:rsidRPr="005862A3">
        <w:t>Service Level for Pharmacy Departments</w:t>
      </w:r>
      <w:bookmarkEnd w:id="38"/>
    </w:p>
    <w:p w14:paraId="5CA845B0" w14:textId="77777777" w:rsidR="00D34D0C" w:rsidRPr="005E01AA" w:rsidRDefault="00D34D0C" w:rsidP="00D34D0C">
      <w:pPr>
        <w:spacing w:after="0"/>
        <w:jc w:val="both"/>
        <w:rPr>
          <w:rFonts w:asciiTheme="minorHAnsi" w:hAnsiTheme="minorHAnsi" w:cstheme="minorHAnsi"/>
          <w:sz w:val="24"/>
          <w:szCs w:val="24"/>
        </w:rPr>
      </w:pPr>
      <w:r w:rsidRPr="005E01AA">
        <w:rPr>
          <w:rFonts w:asciiTheme="minorHAnsi" w:hAnsiTheme="minorHAnsi" w:cstheme="minorHAnsi"/>
          <w:sz w:val="24"/>
          <w:szCs w:val="24"/>
        </w:rPr>
        <w:t>The level of service provided by a pharmacy department is defined below in accordance with the NT Hospital Services Capability Framework.</w:t>
      </w:r>
    </w:p>
    <w:p w14:paraId="3E866B5F" w14:textId="77777777" w:rsidR="00D34D0C" w:rsidRPr="005E01AA" w:rsidRDefault="00D34D0C" w:rsidP="00D34D0C">
      <w:pPr>
        <w:spacing w:after="0"/>
        <w:jc w:val="both"/>
        <w:rPr>
          <w:rFonts w:asciiTheme="minorHAnsi" w:hAnsiTheme="minorHAnsi" w:cstheme="minorHAnsi"/>
          <w:sz w:val="24"/>
          <w:szCs w:val="24"/>
        </w:rPr>
      </w:pPr>
    </w:p>
    <w:p w14:paraId="45D1EDB5" w14:textId="77777777" w:rsidR="00D34D0C" w:rsidRPr="005E01AA" w:rsidRDefault="00D34D0C" w:rsidP="00D34D0C">
      <w:pPr>
        <w:tabs>
          <w:tab w:val="left" w:pos="0"/>
          <w:tab w:val="left" w:pos="709"/>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1:</w:t>
      </w:r>
    </w:p>
    <w:p w14:paraId="21991C90" w14:textId="77777777" w:rsidR="00D34D0C" w:rsidRPr="005E01AA" w:rsidRDefault="00D34D0C" w:rsidP="00D34D0C">
      <w:pPr>
        <w:tabs>
          <w:tab w:val="left" w:pos="0"/>
          <w:tab w:val="left" w:pos="709"/>
        </w:tabs>
        <w:jc w:val="both"/>
        <w:rPr>
          <w:rFonts w:asciiTheme="minorHAnsi" w:hAnsiTheme="minorHAnsi" w:cstheme="minorHAnsi"/>
          <w:sz w:val="24"/>
          <w:szCs w:val="24"/>
        </w:rPr>
      </w:pPr>
      <w:r w:rsidRPr="005E01AA">
        <w:rPr>
          <w:rFonts w:asciiTheme="minorHAnsi" w:hAnsiTheme="minorHAnsi" w:cstheme="minorHAnsi"/>
          <w:sz w:val="24"/>
          <w:szCs w:val="24"/>
        </w:rPr>
        <w:t>A level 1 service provides services to an ambulatory population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as part of a remote health centre that accesses a community pharmacy or other health centre to provide services to a local population).</w:t>
      </w:r>
    </w:p>
    <w:p w14:paraId="09E971B2" w14:textId="77777777" w:rsidR="00D34D0C" w:rsidRPr="005E01AA" w:rsidRDefault="00D34D0C" w:rsidP="000F5DE6">
      <w:pPr>
        <w:pStyle w:val="ListParagraph"/>
        <w:numPr>
          <w:ilvl w:val="0"/>
          <w:numId w:val="22"/>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Medications are supplied on individual prescription from community pharmacy, primary health care clinic or higher level of service.</w:t>
      </w:r>
    </w:p>
    <w:p w14:paraId="5BBB61AD" w14:textId="77777777" w:rsidR="00D34D0C" w:rsidRPr="005E01AA" w:rsidRDefault="00D34D0C" w:rsidP="000F5DE6">
      <w:pPr>
        <w:pStyle w:val="ListParagraph"/>
        <w:numPr>
          <w:ilvl w:val="0"/>
          <w:numId w:val="22"/>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Where there is no pharmacist employed, on-site medication service oversight is provided by a pharmacist located elsewhere from a </w:t>
      </w:r>
      <w:proofErr w:type="gramStart"/>
      <w:r w:rsidRPr="005E01AA">
        <w:rPr>
          <w:rFonts w:asciiTheme="minorHAnsi" w:hAnsiTheme="minorHAnsi" w:cstheme="minorHAnsi"/>
          <w:sz w:val="24"/>
          <w:szCs w:val="24"/>
        </w:rPr>
        <w:t>higher level</w:t>
      </w:r>
      <w:proofErr w:type="gramEnd"/>
      <w:r w:rsidRPr="005E01AA">
        <w:rPr>
          <w:rFonts w:asciiTheme="minorHAnsi" w:hAnsiTheme="minorHAnsi" w:cstheme="minorHAnsi"/>
          <w:sz w:val="24"/>
          <w:szCs w:val="24"/>
        </w:rPr>
        <w:t xml:space="preserve"> service via tele-health where available or through a documented process with a community pharmacist.</w:t>
      </w:r>
    </w:p>
    <w:p w14:paraId="3E9F038A" w14:textId="77777777" w:rsidR="00D34D0C" w:rsidRPr="005E01AA" w:rsidRDefault="00D34D0C" w:rsidP="00D34D0C">
      <w:pPr>
        <w:tabs>
          <w:tab w:val="left" w:pos="709"/>
        </w:tabs>
        <w:spacing w:after="0"/>
        <w:ind w:left="885"/>
        <w:jc w:val="both"/>
        <w:rPr>
          <w:rFonts w:asciiTheme="minorHAnsi" w:hAnsiTheme="minorHAnsi" w:cstheme="minorHAnsi"/>
          <w:sz w:val="24"/>
          <w:szCs w:val="24"/>
        </w:rPr>
      </w:pPr>
    </w:p>
    <w:p w14:paraId="755788DD" w14:textId="77777777" w:rsidR="00D34D0C" w:rsidRPr="005E01AA" w:rsidRDefault="00D34D0C" w:rsidP="00D34D0C">
      <w:pPr>
        <w:tabs>
          <w:tab w:val="left" w:pos="0"/>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2:</w:t>
      </w:r>
    </w:p>
    <w:p w14:paraId="3A2A8E48" w14:textId="77777777" w:rsidR="00D34D0C" w:rsidRPr="005E01AA" w:rsidRDefault="00D34D0C" w:rsidP="00D34D0C">
      <w:pPr>
        <w:tabs>
          <w:tab w:val="left" w:pos="0"/>
        </w:tabs>
        <w:jc w:val="both"/>
        <w:rPr>
          <w:rFonts w:asciiTheme="minorHAnsi" w:hAnsiTheme="minorHAnsi" w:cstheme="minorHAnsi"/>
          <w:sz w:val="24"/>
          <w:szCs w:val="24"/>
        </w:rPr>
      </w:pPr>
      <w:r w:rsidRPr="005E01AA">
        <w:rPr>
          <w:rFonts w:asciiTheme="minorHAnsi" w:hAnsiTheme="minorHAnsi" w:cstheme="minorHAnsi"/>
          <w:sz w:val="24"/>
          <w:szCs w:val="24"/>
        </w:rPr>
        <w:t xml:space="preserve">A level 2 service provides services at level 1 plus it provides a limited ambulatory service and in-patient clinical pharmacy </w:t>
      </w:r>
      <w:proofErr w:type="gramStart"/>
      <w:r w:rsidRPr="005E01AA">
        <w:rPr>
          <w:rFonts w:asciiTheme="minorHAnsi" w:hAnsiTheme="minorHAnsi" w:cstheme="minorHAnsi"/>
          <w:sz w:val="24"/>
          <w:szCs w:val="24"/>
        </w:rPr>
        <w:t>service, and</w:t>
      </w:r>
      <w:proofErr w:type="gramEnd"/>
      <w:r w:rsidRPr="005E01AA">
        <w:rPr>
          <w:rFonts w:asciiTheme="minorHAnsi" w:hAnsiTheme="minorHAnsi" w:cstheme="minorHAnsi"/>
          <w:sz w:val="24"/>
          <w:szCs w:val="24"/>
        </w:rPr>
        <w:t xml:space="preserve"> complies with relevant statutory regulations regarding the provision and quality use of medications. The service </w:t>
      </w:r>
      <w:proofErr w:type="gramStart"/>
      <w:r w:rsidRPr="005E01AA">
        <w:rPr>
          <w:rFonts w:asciiTheme="minorHAnsi" w:hAnsiTheme="minorHAnsi" w:cstheme="minorHAnsi"/>
          <w:sz w:val="24"/>
          <w:szCs w:val="24"/>
        </w:rPr>
        <w:t>is able to</w:t>
      </w:r>
      <w:proofErr w:type="gramEnd"/>
      <w:r w:rsidRPr="005E01AA">
        <w:rPr>
          <w:rFonts w:asciiTheme="minorHAnsi" w:hAnsiTheme="minorHAnsi" w:cstheme="minorHAnsi"/>
          <w:sz w:val="24"/>
          <w:szCs w:val="24"/>
        </w:rPr>
        <w:t xml:space="preserve"> provide a medication service to adult and paediatric patients including:</w:t>
      </w:r>
    </w:p>
    <w:p w14:paraId="0DA12DB6" w14:textId="77777777" w:rsidR="00D34D0C" w:rsidRPr="005E01AA" w:rsidRDefault="00D34D0C" w:rsidP="000F5DE6">
      <w:pPr>
        <w:pStyle w:val="ListParagraph"/>
        <w:numPr>
          <w:ilvl w:val="0"/>
          <w:numId w:val="21"/>
        </w:numPr>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Medications for in-patients (supplied </w:t>
      </w:r>
      <w:proofErr w:type="gramStart"/>
      <w:r w:rsidRPr="005E01AA">
        <w:rPr>
          <w:rFonts w:asciiTheme="minorHAnsi" w:hAnsiTheme="minorHAnsi" w:cstheme="minorHAnsi"/>
          <w:sz w:val="24"/>
          <w:szCs w:val="24"/>
        </w:rPr>
        <w:t>on the basis of</w:t>
      </w:r>
      <w:proofErr w:type="gramEnd"/>
      <w:r w:rsidRPr="005E01AA">
        <w:rPr>
          <w:rFonts w:asciiTheme="minorHAnsi" w:hAnsiTheme="minorHAnsi" w:cstheme="minorHAnsi"/>
          <w:sz w:val="24"/>
          <w:szCs w:val="24"/>
        </w:rPr>
        <w:t xml:space="preserve"> a legal and safe written order) are sourced from the hub hospital within the network.</w:t>
      </w:r>
    </w:p>
    <w:p w14:paraId="7B635284" w14:textId="77777777" w:rsidR="00D34D0C" w:rsidRPr="005E01AA" w:rsidRDefault="00D34D0C" w:rsidP="000F5DE6">
      <w:pPr>
        <w:pStyle w:val="ListParagraph"/>
        <w:numPr>
          <w:ilvl w:val="0"/>
          <w:numId w:val="21"/>
        </w:numPr>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Medications for ambulatory and in-patients on discharge supplied on an individual prescription from either a community pharmacy, appropriate hospital within a network, or a </w:t>
      </w:r>
      <w:proofErr w:type="gramStart"/>
      <w:r w:rsidRPr="005E01AA">
        <w:rPr>
          <w:rFonts w:asciiTheme="minorHAnsi" w:hAnsiTheme="minorHAnsi" w:cstheme="minorHAnsi"/>
          <w:sz w:val="24"/>
          <w:szCs w:val="24"/>
        </w:rPr>
        <w:t>higher level</w:t>
      </w:r>
      <w:proofErr w:type="gramEnd"/>
      <w:r w:rsidRPr="005E01AA">
        <w:rPr>
          <w:rFonts w:asciiTheme="minorHAnsi" w:hAnsiTheme="minorHAnsi" w:cstheme="minorHAnsi"/>
          <w:sz w:val="24"/>
          <w:szCs w:val="24"/>
        </w:rPr>
        <w:t xml:space="preserve"> service with documented processes in </w:t>
      </w:r>
      <w:proofErr w:type="gramStart"/>
      <w:r w:rsidRPr="005E01AA">
        <w:rPr>
          <w:rFonts w:asciiTheme="minorHAnsi" w:hAnsiTheme="minorHAnsi" w:cstheme="minorHAnsi"/>
          <w:sz w:val="24"/>
          <w:szCs w:val="24"/>
        </w:rPr>
        <w:t>place  for</w:t>
      </w:r>
      <w:proofErr w:type="gramEnd"/>
      <w:r w:rsidRPr="005E01AA">
        <w:rPr>
          <w:rFonts w:asciiTheme="minorHAnsi" w:hAnsiTheme="minorHAnsi" w:cstheme="minorHAnsi"/>
          <w:sz w:val="24"/>
          <w:szCs w:val="24"/>
        </w:rPr>
        <w:t xml:space="preserve"> the provision of medications that require compounding.</w:t>
      </w:r>
    </w:p>
    <w:p w14:paraId="2C618305" w14:textId="77777777" w:rsidR="00D34D0C" w:rsidRPr="005E01AA" w:rsidRDefault="00D34D0C" w:rsidP="000F5DE6">
      <w:pPr>
        <w:pStyle w:val="ListParagraph"/>
        <w:numPr>
          <w:ilvl w:val="0"/>
          <w:numId w:val="21"/>
        </w:numPr>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Staff education program in place.</w:t>
      </w:r>
    </w:p>
    <w:p w14:paraId="33EC3467" w14:textId="77777777" w:rsidR="00D34D0C" w:rsidRPr="005E01AA" w:rsidRDefault="00D34D0C" w:rsidP="000F5DE6">
      <w:pPr>
        <w:pStyle w:val="ListParagraph"/>
        <w:numPr>
          <w:ilvl w:val="0"/>
          <w:numId w:val="21"/>
        </w:numPr>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Patient education provided for inpatients from nursing or visiting pharmacy staff.</w:t>
      </w:r>
    </w:p>
    <w:p w14:paraId="07A3283E" w14:textId="77777777" w:rsidR="00D34D0C" w:rsidRPr="005E01AA" w:rsidRDefault="00D34D0C" w:rsidP="000F5DE6">
      <w:pPr>
        <w:pStyle w:val="ListParagraph"/>
        <w:numPr>
          <w:ilvl w:val="0"/>
          <w:numId w:val="21"/>
        </w:numPr>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Pharmacist support from a hub facility within the network, provided by a visiting pharmacist. </w:t>
      </w:r>
    </w:p>
    <w:p w14:paraId="194B7751" w14:textId="77777777" w:rsidR="00D34D0C" w:rsidRPr="005E01AA" w:rsidRDefault="00D34D0C" w:rsidP="00D34D0C">
      <w:pPr>
        <w:tabs>
          <w:tab w:val="left" w:pos="426"/>
        </w:tabs>
        <w:spacing w:after="0"/>
        <w:jc w:val="both"/>
        <w:rPr>
          <w:rFonts w:asciiTheme="minorHAnsi" w:hAnsiTheme="minorHAnsi" w:cstheme="minorHAnsi"/>
          <w:sz w:val="24"/>
          <w:szCs w:val="24"/>
        </w:rPr>
      </w:pPr>
    </w:p>
    <w:p w14:paraId="7F2D1904" w14:textId="77777777" w:rsidR="00D34D0C" w:rsidRPr="005E01AA" w:rsidRDefault="00D34D0C" w:rsidP="00D34D0C">
      <w:pPr>
        <w:tabs>
          <w:tab w:val="left" w:pos="0"/>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3:</w:t>
      </w:r>
    </w:p>
    <w:p w14:paraId="0025B04F" w14:textId="77777777" w:rsidR="00D34D0C" w:rsidRPr="005E01AA" w:rsidRDefault="00D34D0C" w:rsidP="00674253">
      <w:pPr>
        <w:tabs>
          <w:tab w:val="left" w:pos="0"/>
        </w:tabs>
        <w:jc w:val="both"/>
        <w:rPr>
          <w:rFonts w:asciiTheme="minorHAnsi" w:hAnsiTheme="minorHAnsi" w:cstheme="minorHAnsi"/>
          <w:sz w:val="24"/>
          <w:szCs w:val="24"/>
        </w:rPr>
      </w:pPr>
      <w:r w:rsidRPr="005E01AA">
        <w:rPr>
          <w:rFonts w:asciiTheme="minorHAnsi" w:hAnsiTheme="minorHAnsi" w:cstheme="minorHAnsi"/>
          <w:sz w:val="24"/>
          <w:szCs w:val="24"/>
        </w:rPr>
        <w:t xml:space="preserve">A level 3 service provides a level 2 service plus it provides a clinical pharmacy service on weekdays through an on-site pharmacy or a contracted </w:t>
      </w:r>
      <w:proofErr w:type="gramStart"/>
      <w:r w:rsidRPr="005E01AA">
        <w:rPr>
          <w:rFonts w:asciiTheme="minorHAnsi" w:hAnsiTheme="minorHAnsi" w:cstheme="minorHAnsi"/>
          <w:sz w:val="24"/>
          <w:szCs w:val="24"/>
        </w:rPr>
        <w:t>service, and</w:t>
      </w:r>
      <w:proofErr w:type="gramEnd"/>
      <w:r w:rsidRPr="005E01AA">
        <w:rPr>
          <w:rFonts w:asciiTheme="minorHAnsi" w:hAnsiTheme="minorHAnsi" w:cstheme="minorHAnsi"/>
          <w:sz w:val="24"/>
          <w:szCs w:val="24"/>
        </w:rPr>
        <w:t xml:space="preserve"> includes an out of hours medication mechanism and ideally has access to a pharmacist for emergency advice 24 hours a day. The service is provided to in-patients as well as rural and remote areas, including a service to dispense medications to ambulatory patients, and provides medications to out-patients not on the Pharmaceutical Benefits Scheme (PBS), as well as providing service to regional and remote health centres within the network.</w:t>
      </w:r>
    </w:p>
    <w:p w14:paraId="40E971EF" w14:textId="77777777" w:rsidR="00D34D0C" w:rsidRPr="005E01AA" w:rsidRDefault="00D34D0C" w:rsidP="000F5DE6">
      <w:pPr>
        <w:pStyle w:val="ListParagraph"/>
        <w:numPr>
          <w:ilvl w:val="0"/>
          <w:numId w:val="19"/>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Medications and clinical services for in-patients, day patients and, where applicable, ambulatory patients in specialty clinics.</w:t>
      </w:r>
    </w:p>
    <w:p w14:paraId="56C4B03F" w14:textId="77777777" w:rsidR="00D34D0C" w:rsidRPr="005E01AA" w:rsidRDefault="00D34D0C" w:rsidP="000F5DE6">
      <w:pPr>
        <w:pStyle w:val="ListParagraph"/>
        <w:numPr>
          <w:ilvl w:val="0"/>
          <w:numId w:val="19"/>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Provides support to outreach and specialty services. </w:t>
      </w:r>
    </w:p>
    <w:p w14:paraId="52AA419E" w14:textId="77777777" w:rsidR="00D34D0C" w:rsidRPr="005E01AA" w:rsidRDefault="00D34D0C" w:rsidP="000F5DE6">
      <w:pPr>
        <w:pStyle w:val="ListParagraph"/>
        <w:numPr>
          <w:ilvl w:val="0"/>
          <w:numId w:val="19"/>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Access to basic, non-sterile extemporaneous compounding.</w:t>
      </w:r>
    </w:p>
    <w:p w14:paraId="68A43758" w14:textId="77777777" w:rsidR="00D34D0C" w:rsidRPr="005E01AA" w:rsidRDefault="00D34D0C" w:rsidP="000F5DE6">
      <w:pPr>
        <w:pStyle w:val="ListParagraph"/>
        <w:numPr>
          <w:ilvl w:val="0"/>
          <w:numId w:val="19"/>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Clinical services </w:t>
      </w:r>
      <w:proofErr w:type="gramStart"/>
      <w:r w:rsidRPr="005E01AA">
        <w:rPr>
          <w:rFonts w:asciiTheme="minorHAnsi" w:hAnsiTheme="minorHAnsi" w:cstheme="minorHAnsi"/>
          <w:sz w:val="24"/>
          <w:szCs w:val="24"/>
        </w:rPr>
        <w:t>includes</w:t>
      </w:r>
      <w:proofErr w:type="gramEnd"/>
      <w:r w:rsidRPr="005E01AA">
        <w:rPr>
          <w:rFonts w:asciiTheme="minorHAnsi" w:hAnsiTheme="minorHAnsi" w:cstheme="minorHAnsi"/>
          <w:sz w:val="24"/>
          <w:szCs w:val="24"/>
        </w:rPr>
        <w:t xml:space="preserve"> drug information, drug monitoring, drug utilisation evaluation (DUE), adverse drug reaction reporting, patient education and support, and membership on </w:t>
      </w:r>
      <w:proofErr w:type="gramStart"/>
      <w:r w:rsidRPr="005E01AA">
        <w:rPr>
          <w:rFonts w:asciiTheme="minorHAnsi" w:hAnsiTheme="minorHAnsi" w:cstheme="minorHAnsi"/>
          <w:sz w:val="24"/>
          <w:szCs w:val="24"/>
        </w:rPr>
        <w:t>hospital based</w:t>
      </w:r>
      <w:proofErr w:type="gramEnd"/>
      <w:r w:rsidRPr="005E01AA">
        <w:rPr>
          <w:rFonts w:asciiTheme="minorHAnsi" w:hAnsiTheme="minorHAnsi" w:cstheme="minorHAnsi"/>
          <w:sz w:val="24"/>
          <w:szCs w:val="24"/>
        </w:rPr>
        <w:t xml:space="preserve"> network systems.</w:t>
      </w:r>
    </w:p>
    <w:p w14:paraId="7EEC08DA"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lastRenderedPageBreak/>
        <w:t>Timely access to clinical information, including medical records and pathology results, reliable access to a dedicated desktop and/or laptop in the ward clinical area.</w:t>
      </w:r>
    </w:p>
    <w:p w14:paraId="401C83E3"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Have responsibilities across a defined area within the network, providing support and medication service oversight to </w:t>
      </w:r>
      <w:proofErr w:type="gramStart"/>
      <w:r w:rsidRPr="005E01AA">
        <w:rPr>
          <w:rFonts w:asciiTheme="minorHAnsi" w:hAnsiTheme="minorHAnsi" w:cstheme="minorHAnsi"/>
          <w:sz w:val="24"/>
          <w:szCs w:val="24"/>
        </w:rPr>
        <w:t>lower level</w:t>
      </w:r>
      <w:proofErr w:type="gramEnd"/>
      <w:r w:rsidRPr="005E01AA">
        <w:rPr>
          <w:rFonts w:asciiTheme="minorHAnsi" w:hAnsiTheme="minorHAnsi" w:cstheme="minorHAnsi"/>
          <w:sz w:val="24"/>
          <w:szCs w:val="24"/>
        </w:rPr>
        <w:t xml:space="preserve"> services through intermittent visits, via outreach pharmacy or tele-pharmacy services if available, or other means.</w:t>
      </w:r>
    </w:p>
    <w:p w14:paraId="20FC7C80"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May have a pharmacy undergraduate and postgraduate teaching role.</w:t>
      </w:r>
    </w:p>
    <w:p w14:paraId="1140F698"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Appropriate networking with higher level service.</w:t>
      </w:r>
    </w:p>
    <w:p w14:paraId="0440F2A0"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Must comply with relevant legislation regarding storage and security requirements.</w:t>
      </w:r>
    </w:p>
    <w:p w14:paraId="4AA88997" w14:textId="77777777" w:rsidR="00D34D0C" w:rsidRPr="005E01AA" w:rsidRDefault="00D34D0C" w:rsidP="000F5DE6">
      <w:pPr>
        <w:pStyle w:val="ListParagraph"/>
        <w:numPr>
          <w:ilvl w:val="0"/>
          <w:numId w:val="20"/>
        </w:numPr>
        <w:tabs>
          <w:tab w:val="left" w:pos="0"/>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Service provided by a pharmacy team which includes a pharmacist, pharmacy assistant and pharmacy technician.</w:t>
      </w:r>
    </w:p>
    <w:p w14:paraId="3EB338CD" w14:textId="77777777" w:rsidR="00D34D0C" w:rsidRPr="005E01AA" w:rsidRDefault="00D34D0C" w:rsidP="00D34D0C">
      <w:pPr>
        <w:tabs>
          <w:tab w:val="left" w:pos="709"/>
        </w:tabs>
        <w:spacing w:after="0"/>
        <w:jc w:val="both"/>
        <w:rPr>
          <w:rFonts w:asciiTheme="minorHAnsi" w:hAnsiTheme="minorHAnsi" w:cstheme="minorHAnsi"/>
          <w:sz w:val="24"/>
          <w:szCs w:val="24"/>
        </w:rPr>
      </w:pPr>
    </w:p>
    <w:p w14:paraId="7C96ED3B" w14:textId="77777777" w:rsidR="00D34D0C" w:rsidRPr="005E01AA" w:rsidRDefault="00D34D0C" w:rsidP="00D34D0C">
      <w:pPr>
        <w:tabs>
          <w:tab w:val="left" w:pos="709"/>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4:</w:t>
      </w:r>
    </w:p>
    <w:p w14:paraId="4517EBB1" w14:textId="77777777" w:rsidR="00D34D0C" w:rsidRPr="005E01AA" w:rsidRDefault="00D34D0C" w:rsidP="00E830F5">
      <w:pPr>
        <w:tabs>
          <w:tab w:val="left" w:pos="709"/>
        </w:tabs>
        <w:jc w:val="both"/>
        <w:rPr>
          <w:rFonts w:asciiTheme="minorHAnsi" w:hAnsiTheme="minorHAnsi" w:cstheme="minorHAnsi"/>
          <w:sz w:val="24"/>
          <w:szCs w:val="24"/>
        </w:rPr>
      </w:pPr>
      <w:r w:rsidRPr="005E01AA">
        <w:rPr>
          <w:rFonts w:asciiTheme="minorHAnsi" w:hAnsiTheme="minorHAnsi" w:cstheme="minorHAnsi"/>
          <w:sz w:val="24"/>
          <w:szCs w:val="24"/>
        </w:rPr>
        <w:t xml:space="preserve">A level 4 service provides services at level 3 plus it provides a medication service that is available 24 hours. The service </w:t>
      </w:r>
      <w:proofErr w:type="gramStart"/>
      <w:r w:rsidRPr="005E01AA">
        <w:rPr>
          <w:rFonts w:asciiTheme="minorHAnsi" w:hAnsiTheme="minorHAnsi" w:cstheme="minorHAnsi"/>
          <w:sz w:val="24"/>
          <w:szCs w:val="24"/>
        </w:rPr>
        <w:t>is able to</w:t>
      </w:r>
      <w:proofErr w:type="gramEnd"/>
      <w:r w:rsidRPr="005E01AA">
        <w:rPr>
          <w:rFonts w:asciiTheme="minorHAnsi" w:hAnsiTheme="minorHAnsi" w:cstheme="minorHAnsi"/>
          <w:sz w:val="24"/>
          <w:szCs w:val="24"/>
        </w:rPr>
        <w:t xml:space="preserve"> provide care for a full range of patient risk </w:t>
      </w:r>
      <w:proofErr w:type="gramStart"/>
      <w:r w:rsidRPr="005E01AA">
        <w:rPr>
          <w:rFonts w:asciiTheme="minorHAnsi" w:hAnsiTheme="minorHAnsi" w:cstheme="minorHAnsi"/>
          <w:sz w:val="24"/>
          <w:szCs w:val="24"/>
        </w:rPr>
        <w:t>levels, and</w:t>
      </w:r>
      <w:proofErr w:type="gramEnd"/>
      <w:r w:rsidRPr="005E01AA">
        <w:rPr>
          <w:rFonts w:asciiTheme="minorHAnsi" w:hAnsiTheme="minorHAnsi" w:cstheme="minorHAnsi"/>
          <w:sz w:val="24"/>
          <w:szCs w:val="24"/>
        </w:rPr>
        <w:t xml:space="preserve"> has the capacity and capability care for patients that are likely to have complex and competing therapeutic needs, and multiple comorbidities that the service must consider when optimising therapy.</w:t>
      </w:r>
    </w:p>
    <w:p w14:paraId="41B9B77F" w14:textId="77777777" w:rsidR="00D34D0C" w:rsidRPr="005E01AA" w:rsidRDefault="00D34D0C" w:rsidP="000F5DE6">
      <w:pPr>
        <w:pStyle w:val="ListParagraph"/>
        <w:numPr>
          <w:ilvl w:val="0"/>
          <w:numId w:val="18"/>
        </w:numPr>
        <w:tabs>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Provides network consultation and accepts referrals from </w:t>
      </w:r>
      <w:proofErr w:type="gramStart"/>
      <w:r w:rsidRPr="005E01AA">
        <w:rPr>
          <w:rFonts w:asciiTheme="minorHAnsi" w:hAnsiTheme="minorHAnsi" w:cstheme="minorHAnsi"/>
          <w:sz w:val="24"/>
          <w:szCs w:val="24"/>
        </w:rPr>
        <w:t>lower level</w:t>
      </w:r>
      <w:proofErr w:type="gramEnd"/>
      <w:r w:rsidRPr="005E01AA">
        <w:rPr>
          <w:rFonts w:asciiTheme="minorHAnsi" w:hAnsiTheme="minorHAnsi" w:cstheme="minorHAnsi"/>
          <w:sz w:val="24"/>
          <w:szCs w:val="24"/>
        </w:rPr>
        <w:t xml:space="preserve"> services within the network.</w:t>
      </w:r>
    </w:p>
    <w:p w14:paraId="0CC166F2" w14:textId="77777777" w:rsidR="00D34D0C" w:rsidRPr="005E01AA" w:rsidRDefault="00D34D0C" w:rsidP="000F5DE6">
      <w:pPr>
        <w:pStyle w:val="ListParagraph"/>
        <w:numPr>
          <w:ilvl w:val="0"/>
          <w:numId w:val="18"/>
        </w:numPr>
        <w:tabs>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Services provided to in-patients and may be provided to ambulatory patients as part of specialty clinics.</w:t>
      </w:r>
    </w:p>
    <w:p w14:paraId="7297034A" w14:textId="77777777" w:rsidR="00D34D0C" w:rsidRPr="005E01AA" w:rsidRDefault="00D34D0C" w:rsidP="000F5DE6">
      <w:pPr>
        <w:pStyle w:val="ListParagraph"/>
        <w:numPr>
          <w:ilvl w:val="0"/>
          <w:numId w:val="18"/>
        </w:numPr>
        <w:tabs>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Medications distributed and stored by the facility </w:t>
      </w:r>
      <w:proofErr w:type="gramStart"/>
      <w:r w:rsidRPr="005E01AA">
        <w:rPr>
          <w:rFonts w:asciiTheme="minorHAnsi" w:hAnsiTheme="minorHAnsi" w:cstheme="minorHAnsi"/>
          <w:sz w:val="24"/>
          <w:szCs w:val="24"/>
        </w:rPr>
        <w:t>and,</w:t>
      </w:r>
      <w:proofErr w:type="gramEnd"/>
      <w:r w:rsidRPr="005E01AA">
        <w:rPr>
          <w:rFonts w:asciiTheme="minorHAnsi" w:hAnsiTheme="minorHAnsi" w:cstheme="minorHAnsi"/>
          <w:sz w:val="24"/>
          <w:szCs w:val="24"/>
        </w:rPr>
        <w:t xml:space="preserve"> as required, to any </w:t>
      </w:r>
      <w:proofErr w:type="gramStart"/>
      <w:r w:rsidRPr="005E01AA">
        <w:rPr>
          <w:rFonts w:asciiTheme="minorHAnsi" w:hAnsiTheme="minorHAnsi" w:cstheme="minorHAnsi"/>
          <w:sz w:val="24"/>
          <w:szCs w:val="24"/>
        </w:rPr>
        <w:t>lower level</w:t>
      </w:r>
      <w:proofErr w:type="gramEnd"/>
      <w:r w:rsidRPr="005E01AA">
        <w:rPr>
          <w:rFonts w:asciiTheme="minorHAnsi" w:hAnsiTheme="minorHAnsi" w:cstheme="minorHAnsi"/>
          <w:sz w:val="24"/>
          <w:szCs w:val="24"/>
        </w:rPr>
        <w:t xml:space="preserve"> service that is safe, meets legislative requirements and assures the quality of medicinal products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meets cold chain requirements).</w:t>
      </w:r>
    </w:p>
    <w:p w14:paraId="2666229F" w14:textId="77777777" w:rsidR="00D34D0C" w:rsidRPr="005E01AA" w:rsidRDefault="00D34D0C" w:rsidP="000F5DE6">
      <w:pPr>
        <w:pStyle w:val="ListParagraph"/>
        <w:numPr>
          <w:ilvl w:val="0"/>
          <w:numId w:val="18"/>
        </w:numPr>
        <w:tabs>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Provides support for a range of specialty services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chemotherapy).</w:t>
      </w:r>
    </w:p>
    <w:p w14:paraId="374B079A" w14:textId="77777777" w:rsidR="00D34D0C" w:rsidRPr="005E01AA" w:rsidRDefault="00D34D0C" w:rsidP="000F5DE6">
      <w:pPr>
        <w:pStyle w:val="ListParagraph"/>
        <w:numPr>
          <w:ilvl w:val="0"/>
          <w:numId w:val="18"/>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Provides support for clinical trial medication distribution as part of a limited clinical trial management service where other clinical services sponsor or participate in clinical medication trials.</w:t>
      </w:r>
    </w:p>
    <w:p w14:paraId="546F709E" w14:textId="77777777" w:rsidR="00D34D0C" w:rsidRPr="005E01AA" w:rsidRDefault="00D34D0C" w:rsidP="000F5DE6">
      <w:pPr>
        <w:pStyle w:val="ListParagraph"/>
        <w:numPr>
          <w:ilvl w:val="0"/>
          <w:numId w:val="18"/>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 xml:space="preserve">Provides visiting services to </w:t>
      </w:r>
      <w:proofErr w:type="gramStart"/>
      <w:r w:rsidRPr="005E01AA">
        <w:rPr>
          <w:rFonts w:asciiTheme="minorHAnsi" w:hAnsiTheme="minorHAnsi" w:cstheme="minorHAnsi"/>
          <w:sz w:val="24"/>
          <w:szCs w:val="24"/>
        </w:rPr>
        <w:t>lower level</w:t>
      </w:r>
      <w:proofErr w:type="gramEnd"/>
      <w:r w:rsidRPr="005E01AA">
        <w:rPr>
          <w:rFonts w:asciiTheme="minorHAnsi" w:hAnsiTheme="minorHAnsi" w:cstheme="minorHAnsi"/>
          <w:sz w:val="24"/>
          <w:szCs w:val="24"/>
        </w:rPr>
        <w:t xml:space="preserve"> services within the network.</w:t>
      </w:r>
    </w:p>
    <w:p w14:paraId="524036C9" w14:textId="77777777" w:rsidR="00D34D0C" w:rsidRPr="005E01AA" w:rsidRDefault="00D34D0C" w:rsidP="000F5DE6">
      <w:pPr>
        <w:pStyle w:val="ListParagraph"/>
        <w:numPr>
          <w:ilvl w:val="0"/>
          <w:numId w:val="18"/>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Access to an after-hours, on-call service for medication supply and clinical services, including medicines information, available 24 hours.</w:t>
      </w:r>
    </w:p>
    <w:p w14:paraId="0482B19D" w14:textId="77777777" w:rsidR="00D34D0C" w:rsidRPr="005E01AA" w:rsidRDefault="00D34D0C" w:rsidP="000F5DE6">
      <w:pPr>
        <w:pStyle w:val="ListParagraph"/>
        <w:numPr>
          <w:ilvl w:val="0"/>
          <w:numId w:val="18"/>
        </w:numPr>
        <w:tabs>
          <w:tab w:val="left" w:pos="426"/>
          <w:tab w:val="left" w:pos="1134"/>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General or junior-level pharmacy staff mentored or clinically supervised by a specialist or advanced-level practitioners where applicable.</w:t>
      </w:r>
    </w:p>
    <w:p w14:paraId="24E4796D" w14:textId="77777777" w:rsidR="00D34D0C" w:rsidRPr="005E01AA" w:rsidRDefault="00D34D0C" w:rsidP="00D34D0C">
      <w:pPr>
        <w:tabs>
          <w:tab w:val="left" w:pos="0"/>
        </w:tabs>
        <w:spacing w:after="0"/>
        <w:jc w:val="both"/>
        <w:rPr>
          <w:rFonts w:asciiTheme="minorHAnsi" w:hAnsiTheme="minorHAnsi" w:cstheme="minorHAnsi"/>
          <w:b/>
          <w:sz w:val="24"/>
          <w:szCs w:val="24"/>
        </w:rPr>
      </w:pPr>
    </w:p>
    <w:p w14:paraId="6C131693" w14:textId="77777777" w:rsidR="00D34D0C" w:rsidRPr="005E01AA" w:rsidRDefault="00D34D0C" w:rsidP="00D34D0C">
      <w:pPr>
        <w:tabs>
          <w:tab w:val="left" w:pos="0"/>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5:</w:t>
      </w:r>
    </w:p>
    <w:p w14:paraId="3355E649" w14:textId="77777777" w:rsidR="00D34D0C" w:rsidRPr="005E01AA" w:rsidRDefault="00D34D0C" w:rsidP="00E830F5">
      <w:pPr>
        <w:tabs>
          <w:tab w:val="left" w:pos="0"/>
        </w:tabs>
        <w:jc w:val="both"/>
        <w:rPr>
          <w:rFonts w:asciiTheme="minorHAnsi" w:hAnsiTheme="minorHAnsi" w:cstheme="minorHAnsi"/>
          <w:sz w:val="24"/>
          <w:szCs w:val="24"/>
        </w:rPr>
      </w:pPr>
      <w:r w:rsidRPr="005E01AA">
        <w:rPr>
          <w:rFonts w:asciiTheme="minorHAnsi" w:hAnsiTheme="minorHAnsi" w:cstheme="minorHAnsi"/>
          <w:sz w:val="24"/>
          <w:szCs w:val="24"/>
        </w:rPr>
        <w:t>A level 5 service provides services at level 4 plus it has the capacity to act as a referral service for very high-risk patients except those who need high level specialist clinical services, such as a transplant, or the most complex patients</w:t>
      </w:r>
    </w:p>
    <w:p w14:paraId="0170531E" w14:textId="77777777" w:rsidR="00D34D0C" w:rsidRPr="005E01AA"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Basic, non-sterile, extemporaneous compounding possibly with limited small batch manufacturing for local hospital use, and sterile, individually compounded products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xml:space="preserve">: chemotherapy including parenteral, targeted and oral chemotherapy) if the use and manufacture of these products </w:t>
      </w:r>
      <w:proofErr w:type="gramStart"/>
      <w:r w:rsidRPr="005E01AA">
        <w:rPr>
          <w:rFonts w:asciiTheme="minorHAnsi" w:hAnsiTheme="minorHAnsi" w:cstheme="minorHAnsi"/>
          <w:sz w:val="24"/>
          <w:szCs w:val="24"/>
        </w:rPr>
        <w:t>falls</w:t>
      </w:r>
      <w:proofErr w:type="gramEnd"/>
      <w:r w:rsidRPr="005E01AA">
        <w:rPr>
          <w:rFonts w:asciiTheme="minorHAnsi" w:hAnsiTheme="minorHAnsi" w:cstheme="minorHAnsi"/>
          <w:sz w:val="24"/>
          <w:szCs w:val="24"/>
        </w:rPr>
        <w:t xml:space="preserve"> within the scope of practice for the pharmacist or trained support staff providing supporting medication services.</w:t>
      </w:r>
    </w:p>
    <w:p w14:paraId="4D315C25" w14:textId="77777777" w:rsidR="00D34D0C" w:rsidRPr="005E01AA"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The capacity to respond to requested for medicines information related to direct patient care in a timely manner.</w:t>
      </w:r>
    </w:p>
    <w:p w14:paraId="79A8E4C2" w14:textId="77777777" w:rsidR="00D34D0C" w:rsidRPr="005E01AA"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The service may actively participate in multidisciplinary research.</w:t>
      </w:r>
    </w:p>
    <w:p w14:paraId="5F5CF2AA" w14:textId="77777777" w:rsidR="00D34D0C" w:rsidRPr="005E01AA"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Undergraduate and postgraduate teaching role.</w:t>
      </w:r>
    </w:p>
    <w:p w14:paraId="0BD65E45" w14:textId="77777777" w:rsidR="00D34D0C" w:rsidRPr="005E01AA"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Pre- and postgraduate pharmacy training.</w:t>
      </w:r>
    </w:p>
    <w:p w14:paraId="39EB2FDE" w14:textId="77777777" w:rsidR="00D34D0C" w:rsidRDefault="00D34D0C" w:rsidP="000F5DE6">
      <w:pPr>
        <w:pStyle w:val="ListParagraph"/>
        <w:numPr>
          <w:ilvl w:val="0"/>
          <w:numId w:val="16"/>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lastRenderedPageBreak/>
        <w:t>An extended hours service with a pharmacist available 24 hours a day.</w:t>
      </w:r>
    </w:p>
    <w:p w14:paraId="0E983756" w14:textId="77777777" w:rsidR="00D34D0C" w:rsidRPr="005E01AA" w:rsidRDefault="00D34D0C" w:rsidP="000F5DE6">
      <w:pPr>
        <w:pStyle w:val="ListParagraph"/>
        <w:numPr>
          <w:ilvl w:val="0"/>
          <w:numId w:val="17"/>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A pharmacy team structured to deliver services at multiple levels throughout the organisation.</w:t>
      </w:r>
    </w:p>
    <w:p w14:paraId="008F9000" w14:textId="77777777" w:rsidR="00D34D0C" w:rsidRPr="005E01AA" w:rsidRDefault="00D34D0C" w:rsidP="000F5DE6">
      <w:pPr>
        <w:pStyle w:val="ListParagraph"/>
        <w:numPr>
          <w:ilvl w:val="0"/>
          <w:numId w:val="17"/>
        </w:numPr>
        <w:tabs>
          <w:tab w:val="left" w:pos="0"/>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Specialist pharmacist positions which reflect the range of services provided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ICU, haematology, and medical oncology).</w:t>
      </w:r>
    </w:p>
    <w:p w14:paraId="1E93F47E" w14:textId="77777777" w:rsidR="00D34D0C" w:rsidRPr="005E01AA" w:rsidRDefault="00D34D0C" w:rsidP="00D34D0C">
      <w:pPr>
        <w:tabs>
          <w:tab w:val="left" w:pos="0"/>
        </w:tabs>
        <w:spacing w:after="0"/>
        <w:jc w:val="both"/>
        <w:rPr>
          <w:rFonts w:asciiTheme="minorHAnsi" w:hAnsiTheme="minorHAnsi" w:cstheme="minorHAnsi"/>
          <w:sz w:val="24"/>
          <w:szCs w:val="24"/>
        </w:rPr>
      </w:pPr>
    </w:p>
    <w:p w14:paraId="2D174ADC" w14:textId="77777777" w:rsidR="00D34D0C" w:rsidRPr="005E01AA" w:rsidRDefault="00D34D0C" w:rsidP="00D34D0C">
      <w:pPr>
        <w:tabs>
          <w:tab w:val="left" w:pos="709"/>
        </w:tabs>
        <w:spacing w:after="0"/>
        <w:jc w:val="both"/>
        <w:rPr>
          <w:rFonts w:asciiTheme="minorHAnsi" w:hAnsiTheme="minorHAnsi" w:cstheme="minorHAnsi"/>
          <w:b/>
          <w:sz w:val="24"/>
          <w:szCs w:val="24"/>
        </w:rPr>
      </w:pPr>
      <w:r w:rsidRPr="005E01AA">
        <w:rPr>
          <w:rFonts w:asciiTheme="minorHAnsi" w:hAnsiTheme="minorHAnsi" w:cstheme="minorHAnsi"/>
          <w:b/>
          <w:sz w:val="24"/>
          <w:szCs w:val="24"/>
        </w:rPr>
        <w:t>Level 6:</w:t>
      </w:r>
    </w:p>
    <w:p w14:paraId="719FAB07" w14:textId="77777777" w:rsidR="00D34D0C" w:rsidRPr="005E01AA" w:rsidRDefault="00D34D0C" w:rsidP="00E830F5">
      <w:pPr>
        <w:tabs>
          <w:tab w:val="left" w:pos="709"/>
        </w:tabs>
        <w:jc w:val="both"/>
        <w:rPr>
          <w:rFonts w:asciiTheme="minorHAnsi" w:hAnsiTheme="minorHAnsi" w:cstheme="minorHAnsi"/>
          <w:sz w:val="24"/>
          <w:szCs w:val="24"/>
        </w:rPr>
      </w:pPr>
      <w:r w:rsidRPr="005E01AA">
        <w:rPr>
          <w:rFonts w:asciiTheme="minorHAnsi" w:hAnsiTheme="minorHAnsi" w:cstheme="minorHAnsi"/>
          <w:sz w:val="24"/>
          <w:szCs w:val="24"/>
        </w:rPr>
        <w:t xml:space="preserve">A level 6 service provides services at level 5 plus it acts as a referral service for all </w:t>
      </w:r>
      <w:proofErr w:type="gramStart"/>
      <w:r w:rsidRPr="005E01AA">
        <w:rPr>
          <w:rFonts w:asciiTheme="minorHAnsi" w:hAnsiTheme="minorHAnsi" w:cstheme="minorHAnsi"/>
          <w:sz w:val="24"/>
          <w:szCs w:val="24"/>
        </w:rPr>
        <w:t>lower level</w:t>
      </w:r>
      <w:proofErr w:type="gramEnd"/>
      <w:r w:rsidRPr="005E01AA">
        <w:rPr>
          <w:rFonts w:asciiTheme="minorHAnsi" w:hAnsiTheme="minorHAnsi" w:cstheme="minorHAnsi"/>
          <w:sz w:val="24"/>
          <w:szCs w:val="24"/>
        </w:rPr>
        <w:t xml:space="preserve"> services across the NT accepting referrals including interstate, where applicable. The service has the capacity and capability to provide care for patients who have the most complex of needs. A team of pharmacists, including specialist advanced level pharmacist aligned with clinical specialist services and provides medication services.</w:t>
      </w:r>
    </w:p>
    <w:p w14:paraId="15713095" w14:textId="77777777" w:rsidR="00D34D0C" w:rsidRPr="005E01AA" w:rsidRDefault="00D34D0C" w:rsidP="000F5DE6">
      <w:pPr>
        <w:pStyle w:val="ListParagraph"/>
        <w:numPr>
          <w:ilvl w:val="0"/>
          <w:numId w:val="23"/>
        </w:numPr>
        <w:tabs>
          <w:tab w:val="left" w:pos="426"/>
        </w:tabs>
        <w:spacing w:after="0"/>
        <w:contextualSpacing/>
        <w:jc w:val="both"/>
        <w:rPr>
          <w:rFonts w:asciiTheme="minorHAnsi" w:hAnsiTheme="minorHAnsi" w:cstheme="minorHAnsi"/>
          <w:sz w:val="24"/>
          <w:szCs w:val="24"/>
        </w:rPr>
      </w:pPr>
      <w:r w:rsidRPr="005E01AA">
        <w:rPr>
          <w:rFonts w:asciiTheme="minorHAnsi" w:hAnsiTheme="minorHAnsi" w:cstheme="minorHAnsi"/>
          <w:sz w:val="24"/>
          <w:szCs w:val="24"/>
        </w:rPr>
        <w:t>A full range of specialist pharmacist services which reflect the range of specialist services provided (</w:t>
      </w:r>
      <w:proofErr w:type="spellStart"/>
      <w:r w:rsidRPr="005E01AA">
        <w:rPr>
          <w:rFonts w:asciiTheme="minorHAnsi" w:hAnsiTheme="minorHAnsi" w:cstheme="minorHAnsi"/>
          <w:sz w:val="24"/>
          <w:szCs w:val="24"/>
        </w:rPr>
        <w:t>eg</w:t>
      </w:r>
      <w:proofErr w:type="spellEnd"/>
      <w:r w:rsidRPr="005E01AA">
        <w:rPr>
          <w:rFonts w:asciiTheme="minorHAnsi" w:hAnsiTheme="minorHAnsi" w:cstheme="minorHAnsi"/>
          <w:sz w:val="24"/>
          <w:szCs w:val="24"/>
        </w:rPr>
        <w:t>: ICU, haematology, medical oncology, paediatrics, geriatrics, psychiatry, and drug information).</w:t>
      </w:r>
    </w:p>
    <w:p w14:paraId="326177C1" w14:textId="77777777" w:rsidR="00AB5913" w:rsidRDefault="00AB5913" w:rsidP="007E2470">
      <w:pPr>
        <w:rPr>
          <w:rFonts w:asciiTheme="minorHAnsi" w:hAnsiTheme="minorHAnsi"/>
        </w:rPr>
      </w:pPr>
    </w:p>
    <w:p w14:paraId="603C06B8" w14:textId="77777777" w:rsidR="00AB5913" w:rsidRDefault="00AB5913" w:rsidP="00AB5913">
      <w:r>
        <w:br w:type="page"/>
      </w:r>
    </w:p>
    <w:p w14:paraId="79DAB85A" w14:textId="77777777" w:rsidR="00D34D0C" w:rsidRDefault="00AB5913" w:rsidP="00AB5913">
      <w:pPr>
        <w:pStyle w:val="Heading1"/>
        <w:numPr>
          <w:ilvl w:val="0"/>
          <w:numId w:val="0"/>
        </w:numPr>
      </w:pPr>
      <w:bookmarkStart w:id="39" w:name="_Toc89071585"/>
      <w:r>
        <w:lastRenderedPageBreak/>
        <w:t>Appendix B: Determination of risk for pharmacy departments</w:t>
      </w:r>
      <w:bookmarkEnd w:id="39"/>
    </w:p>
    <w:p w14:paraId="56DF4A08" w14:textId="77777777" w:rsidR="00AB5913" w:rsidRPr="007648AB" w:rsidRDefault="00AB5913" w:rsidP="00AB5913">
      <w:pPr>
        <w:spacing w:after="0"/>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 xml:space="preserve">All pharmacy premises in the Northern Territory are administered by the Pharmacy Premises Committee which must ensure compliance with the </w:t>
      </w:r>
      <w:r w:rsidRPr="007648AB">
        <w:rPr>
          <w:rFonts w:asciiTheme="minorHAnsi" w:eastAsiaTheme="minorHAnsi" w:hAnsiTheme="minorHAnsi" w:cstheme="minorBidi"/>
          <w:i/>
          <w:sz w:val="24"/>
          <w:szCs w:val="24"/>
        </w:rPr>
        <w:t>Health Practitioners Act 2004</w:t>
      </w:r>
      <w:r w:rsidRPr="007648AB">
        <w:rPr>
          <w:rFonts w:asciiTheme="minorHAnsi" w:eastAsiaTheme="minorHAnsi" w:hAnsiTheme="minorHAnsi" w:cstheme="minorBidi"/>
          <w:sz w:val="24"/>
          <w:szCs w:val="24"/>
        </w:rPr>
        <w:t>. The Committee has determined all pharmac</w:t>
      </w:r>
      <w:r w:rsidR="001473D6" w:rsidRPr="007648AB">
        <w:rPr>
          <w:rFonts w:asciiTheme="minorHAnsi" w:eastAsiaTheme="minorHAnsi" w:hAnsiTheme="minorHAnsi" w:cstheme="minorBidi"/>
          <w:sz w:val="24"/>
          <w:szCs w:val="24"/>
        </w:rPr>
        <w:t xml:space="preserve">y departments </w:t>
      </w:r>
      <w:r w:rsidRPr="007648AB">
        <w:rPr>
          <w:rFonts w:asciiTheme="minorHAnsi" w:eastAsiaTheme="minorHAnsi" w:hAnsiTheme="minorHAnsi" w:cstheme="minorBidi"/>
          <w:sz w:val="24"/>
          <w:szCs w:val="24"/>
        </w:rPr>
        <w:t xml:space="preserve">to be categorised </w:t>
      </w:r>
      <w:proofErr w:type="gramStart"/>
      <w:r w:rsidRPr="007648AB">
        <w:rPr>
          <w:rFonts w:asciiTheme="minorHAnsi" w:eastAsiaTheme="minorHAnsi" w:hAnsiTheme="minorHAnsi" w:cstheme="minorBidi"/>
          <w:sz w:val="24"/>
          <w:szCs w:val="24"/>
        </w:rPr>
        <w:t>in to</w:t>
      </w:r>
      <w:proofErr w:type="gramEnd"/>
      <w:r w:rsidRPr="007648AB">
        <w:rPr>
          <w:rFonts w:asciiTheme="minorHAnsi" w:eastAsiaTheme="minorHAnsi" w:hAnsiTheme="minorHAnsi" w:cstheme="minorBidi"/>
          <w:sz w:val="24"/>
          <w:szCs w:val="24"/>
        </w:rPr>
        <w:t xml:space="preserve"> three risk categories. These are normal, high risk and pharmacy </w:t>
      </w:r>
      <w:r w:rsidR="001473D6" w:rsidRPr="007648AB">
        <w:rPr>
          <w:rFonts w:asciiTheme="minorHAnsi" w:eastAsiaTheme="minorHAnsi" w:hAnsiTheme="minorHAnsi" w:cstheme="minorBidi"/>
          <w:sz w:val="24"/>
          <w:szCs w:val="24"/>
        </w:rPr>
        <w:t>departments</w:t>
      </w:r>
      <w:r w:rsidRPr="007648AB">
        <w:rPr>
          <w:rFonts w:asciiTheme="minorHAnsi" w:eastAsiaTheme="minorHAnsi" w:hAnsiTheme="minorHAnsi" w:cstheme="minorBidi"/>
          <w:sz w:val="24"/>
          <w:szCs w:val="24"/>
        </w:rPr>
        <w:t xml:space="preserve"> undergoing desktop or remote assessment.</w:t>
      </w:r>
    </w:p>
    <w:p w14:paraId="4F280021" w14:textId="77777777" w:rsidR="00AB5913" w:rsidRPr="007648AB" w:rsidRDefault="00AB5913" w:rsidP="00AB5913">
      <w:pPr>
        <w:spacing w:after="0"/>
        <w:rPr>
          <w:rFonts w:asciiTheme="minorHAnsi" w:eastAsiaTheme="minorHAnsi" w:hAnsiTheme="minorHAnsi" w:cstheme="minorBidi"/>
          <w:sz w:val="24"/>
          <w:szCs w:val="24"/>
        </w:rPr>
      </w:pPr>
    </w:p>
    <w:p w14:paraId="4C99C90E" w14:textId="77777777" w:rsidR="00AB5913" w:rsidRPr="007648AB" w:rsidRDefault="00AB5913" w:rsidP="000F5DE6">
      <w:pPr>
        <w:numPr>
          <w:ilvl w:val="0"/>
          <w:numId w:val="13"/>
        </w:numPr>
        <w:spacing w:after="0" w:line="276" w:lineRule="auto"/>
        <w:ind w:left="567" w:hanging="567"/>
        <w:contextualSpacing/>
        <w:rPr>
          <w:rFonts w:asciiTheme="minorHAnsi" w:eastAsiaTheme="minorHAnsi" w:hAnsiTheme="minorHAnsi" w:cstheme="minorBidi"/>
          <w:sz w:val="24"/>
          <w:szCs w:val="24"/>
        </w:rPr>
      </w:pPr>
      <w:r w:rsidRPr="007648AB">
        <w:rPr>
          <w:rFonts w:asciiTheme="minorHAnsi" w:eastAsiaTheme="minorHAnsi" w:hAnsiTheme="minorHAnsi" w:cstheme="minorBidi"/>
          <w:b/>
          <w:sz w:val="24"/>
          <w:szCs w:val="24"/>
        </w:rPr>
        <w:t>Normal Risk</w:t>
      </w:r>
      <w:r w:rsidRPr="007648AB">
        <w:rPr>
          <w:rFonts w:asciiTheme="minorHAnsi" w:eastAsiaTheme="minorHAnsi" w:hAnsiTheme="minorHAnsi" w:cstheme="minorBidi"/>
          <w:sz w:val="24"/>
          <w:szCs w:val="24"/>
        </w:rPr>
        <w:t xml:space="preserve"> pharmacy departments which fit into the following criteria:</w:t>
      </w:r>
    </w:p>
    <w:p w14:paraId="42C2FA79" w14:textId="77777777" w:rsidR="00AB5913" w:rsidRPr="007648AB" w:rsidRDefault="00AB5913" w:rsidP="000F5DE6">
      <w:pPr>
        <w:numPr>
          <w:ilvl w:val="1"/>
          <w:numId w:val="13"/>
        </w:numPr>
        <w:tabs>
          <w:tab w:val="left" w:pos="1134"/>
        </w:tabs>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 xml:space="preserve">attained accreditation </w:t>
      </w:r>
      <w:r w:rsidR="001473D6" w:rsidRPr="007648AB">
        <w:rPr>
          <w:rFonts w:asciiTheme="minorHAnsi" w:eastAsiaTheme="minorHAnsi" w:hAnsiTheme="minorHAnsi" w:cstheme="minorBidi"/>
          <w:sz w:val="24"/>
          <w:szCs w:val="24"/>
        </w:rPr>
        <w:t>in association with</w:t>
      </w:r>
      <w:r w:rsidRPr="007648AB">
        <w:rPr>
          <w:rFonts w:asciiTheme="minorHAnsi" w:eastAsiaTheme="minorHAnsi" w:hAnsiTheme="minorHAnsi" w:cstheme="minorBidi"/>
          <w:sz w:val="24"/>
          <w:szCs w:val="24"/>
        </w:rPr>
        <w:t xml:space="preserve"> the hospital’s </w:t>
      </w:r>
      <w:r w:rsidR="005E386E" w:rsidRPr="007648AB">
        <w:rPr>
          <w:rFonts w:asciiTheme="minorHAnsi" w:hAnsiTheme="minorHAnsi" w:cs="Segoe UI"/>
          <w:sz w:val="24"/>
          <w:szCs w:val="24"/>
          <w:shd w:val="clear" w:color="auto" w:fill="FFFFFF"/>
        </w:rPr>
        <w:t>National Safety and Quality</w:t>
      </w:r>
      <w:r w:rsidR="00375E02" w:rsidRPr="007648AB">
        <w:rPr>
          <w:rFonts w:asciiTheme="minorHAnsi" w:hAnsiTheme="minorHAnsi" w:cs="Segoe UI"/>
          <w:sz w:val="24"/>
          <w:szCs w:val="24"/>
          <w:shd w:val="clear" w:color="auto" w:fill="FFFFFF"/>
        </w:rPr>
        <w:t xml:space="preserve"> Ser</w:t>
      </w:r>
      <w:r w:rsidR="005E386E" w:rsidRPr="007648AB">
        <w:rPr>
          <w:rFonts w:asciiTheme="minorHAnsi" w:hAnsiTheme="minorHAnsi" w:cs="Segoe UI"/>
          <w:sz w:val="24"/>
          <w:szCs w:val="24"/>
          <w:shd w:val="clear" w:color="auto" w:fill="FFFFFF"/>
        </w:rPr>
        <w:t>vice</w:t>
      </w:r>
      <w:r w:rsidR="005E01AA" w:rsidRPr="007648AB">
        <w:rPr>
          <w:rFonts w:asciiTheme="minorHAnsi" w:hAnsiTheme="minorHAnsi" w:cs="Segoe UI"/>
          <w:sz w:val="24"/>
          <w:szCs w:val="24"/>
          <w:shd w:val="clear" w:color="auto" w:fill="FFFFFF"/>
        </w:rPr>
        <w:t xml:space="preserve"> (</w:t>
      </w:r>
      <w:r w:rsidRPr="007648AB">
        <w:rPr>
          <w:rFonts w:asciiTheme="minorHAnsi" w:eastAsiaTheme="minorHAnsi" w:hAnsiTheme="minorHAnsi" w:cstheme="minorBidi"/>
          <w:sz w:val="24"/>
          <w:szCs w:val="24"/>
        </w:rPr>
        <w:t>NSQHS</w:t>
      </w:r>
      <w:r w:rsidR="005E01AA" w:rsidRPr="007648AB">
        <w:rPr>
          <w:rFonts w:asciiTheme="minorHAnsi" w:eastAsiaTheme="minorHAnsi" w:hAnsiTheme="minorHAnsi" w:cstheme="minorBidi"/>
          <w:sz w:val="24"/>
          <w:szCs w:val="24"/>
        </w:rPr>
        <w:t>)</w:t>
      </w:r>
      <w:r w:rsidR="00375E02" w:rsidRPr="007648AB">
        <w:rPr>
          <w:rFonts w:asciiTheme="minorHAnsi" w:eastAsiaTheme="minorHAnsi" w:hAnsiTheme="minorHAnsi" w:cstheme="minorBidi"/>
          <w:sz w:val="24"/>
          <w:szCs w:val="24"/>
        </w:rPr>
        <w:t xml:space="preserve"> Standards</w:t>
      </w:r>
      <w:r w:rsidRPr="007648AB">
        <w:rPr>
          <w:rFonts w:asciiTheme="minorHAnsi" w:eastAsiaTheme="minorHAnsi" w:hAnsiTheme="minorHAnsi" w:cstheme="minorBidi"/>
          <w:sz w:val="24"/>
          <w:szCs w:val="24"/>
        </w:rPr>
        <w:t>; and</w:t>
      </w:r>
    </w:p>
    <w:p w14:paraId="4D0FCC5F" w14:textId="77777777" w:rsidR="00AB5913" w:rsidRPr="007648AB" w:rsidRDefault="00AB5913" w:rsidP="000F5DE6">
      <w:pPr>
        <w:numPr>
          <w:ilvl w:val="1"/>
          <w:numId w:val="13"/>
        </w:numPr>
        <w:tabs>
          <w:tab w:val="left" w:pos="1134"/>
        </w:tabs>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 xml:space="preserve">undertake a normal range of pharmacy services as </w:t>
      </w:r>
      <w:r w:rsidR="001473D6" w:rsidRPr="007648AB">
        <w:rPr>
          <w:rFonts w:asciiTheme="minorHAnsi" w:eastAsiaTheme="minorHAnsi" w:hAnsiTheme="minorHAnsi" w:cstheme="minorBidi"/>
          <w:sz w:val="24"/>
          <w:szCs w:val="24"/>
        </w:rPr>
        <w:t>stated in</w:t>
      </w:r>
      <w:r w:rsidRPr="007648AB">
        <w:rPr>
          <w:rFonts w:asciiTheme="minorHAnsi" w:eastAsiaTheme="minorHAnsi" w:hAnsiTheme="minorHAnsi" w:cstheme="minorBidi"/>
          <w:sz w:val="24"/>
          <w:szCs w:val="24"/>
        </w:rPr>
        <w:t xml:space="preserve"> under Appendix A; or</w:t>
      </w:r>
    </w:p>
    <w:p w14:paraId="72203F3C" w14:textId="77777777" w:rsidR="00AB5913" w:rsidRPr="007648AB" w:rsidRDefault="00AB5913" w:rsidP="000F5DE6">
      <w:pPr>
        <w:numPr>
          <w:ilvl w:val="1"/>
          <w:numId w:val="13"/>
        </w:numPr>
        <w:tabs>
          <w:tab w:val="left" w:pos="1134"/>
        </w:tabs>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as determined by the Pharmacy Premises Committee.</w:t>
      </w:r>
    </w:p>
    <w:p w14:paraId="5A26E21F" w14:textId="77777777" w:rsidR="00AB5913" w:rsidRPr="007648AB" w:rsidRDefault="00AB5913" w:rsidP="00AB5913">
      <w:pPr>
        <w:tabs>
          <w:tab w:val="left" w:pos="1134"/>
        </w:tabs>
        <w:spacing w:after="0"/>
        <w:rPr>
          <w:rFonts w:asciiTheme="minorHAnsi" w:eastAsiaTheme="minorHAnsi" w:hAnsiTheme="minorHAnsi" w:cstheme="minorBidi"/>
          <w:sz w:val="24"/>
          <w:szCs w:val="24"/>
        </w:rPr>
      </w:pPr>
    </w:p>
    <w:p w14:paraId="20BDACE2" w14:textId="77777777" w:rsidR="00AB5913" w:rsidRPr="007648AB" w:rsidRDefault="00AB5913" w:rsidP="000F5DE6">
      <w:pPr>
        <w:numPr>
          <w:ilvl w:val="0"/>
          <w:numId w:val="13"/>
        </w:numPr>
        <w:spacing w:after="0" w:line="276" w:lineRule="auto"/>
        <w:ind w:left="567" w:hanging="567"/>
        <w:contextualSpacing/>
        <w:rPr>
          <w:rFonts w:asciiTheme="minorHAnsi" w:eastAsiaTheme="minorHAnsi" w:hAnsiTheme="minorHAnsi" w:cstheme="minorBidi"/>
          <w:sz w:val="24"/>
          <w:szCs w:val="24"/>
        </w:rPr>
      </w:pPr>
      <w:r w:rsidRPr="007648AB">
        <w:rPr>
          <w:rFonts w:asciiTheme="minorHAnsi" w:eastAsiaTheme="minorHAnsi" w:hAnsiTheme="minorHAnsi" w:cstheme="minorBidi"/>
          <w:b/>
          <w:sz w:val="24"/>
          <w:szCs w:val="24"/>
        </w:rPr>
        <w:t>High Risk</w:t>
      </w:r>
      <w:r w:rsidRPr="007648AB">
        <w:rPr>
          <w:rFonts w:asciiTheme="minorHAnsi" w:eastAsiaTheme="minorHAnsi" w:hAnsiTheme="minorHAnsi" w:cstheme="minorBidi"/>
          <w:sz w:val="24"/>
          <w:szCs w:val="24"/>
        </w:rPr>
        <w:t xml:space="preserve"> pharmacies and professional services premises which fit </w:t>
      </w:r>
      <w:proofErr w:type="gramStart"/>
      <w:r w:rsidRPr="007648AB">
        <w:rPr>
          <w:rFonts w:asciiTheme="minorHAnsi" w:eastAsiaTheme="minorHAnsi" w:hAnsiTheme="minorHAnsi" w:cstheme="minorBidi"/>
          <w:sz w:val="24"/>
          <w:szCs w:val="24"/>
        </w:rPr>
        <w:t>in to</w:t>
      </w:r>
      <w:proofErr w:type="gramEnd"/>
      <w:r w:rsidRPr="007648AB">
        <w:rPr>
          <w:rFonts w:asciiTheme="minorHAnsi" w:eastAsiaTheme="minorHAnsi" w:hAnsiTheme="minorHAnsi" w:cstheme="minorBidi"/>
          <w:sz w:val="24"/>
          <w:szCs w:val="24"/>
        </w:rPr>
        <w:t xml:space="preserve"> the following criteria:</w:t>
      </w:r>
    </w:p>
    <w:p w14:paraId="279E29FA" w14:textId="77777777" w:rsidR="00AB5913" w:rsidRPr="007648AB" w:rsidRDefault="00AB5913" w:rsidP="000F5DE6">
      <w:pPr>
        <w:numPr>
          <w:ilvl w:val="1"/>
          <w:numId w:val="15"/>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u w:val="single"/>
        </w:rPr>
        <w:t>not</w:t>
      </w:r>
      <w:r w:rsidRPr="007648AB">
        <w:rPr>
          <w:rFonts w:asciiTheme="minorHAnsi" w:eastAsiaTheme="minorHAnsi" w:hAnsiTheme="minorHAnsi" w:cstheme="minorBidi"/>
          <w:sz w:val="24"/>
          <w:szCs w:val="24"/>
        </w:rPr>
        <w:t xml:space="preserve"> accredited / reaccredited </w:t>
      </w:r>
      <w:r w:rsidR="001473D6" w:rsidRPr="007648AB">
        <w:rPr>
          <w:rFonts w:asciiTheme="minorHAnsi" w:eastAsiaTheme="minorHAnsi" w:hAnsiTheme="minorHAnsi" w:cstheme="minorBidi"/>
          <w:sz w:val="24"/>
          <w:szCs w:val="24"/>
        </w:rPr>
        <w:t>under</w:t>
      </w:r>
      <w:r w:rsidRPr="007648AB">
        <w:rPr>
          <w:rFonts w:asciiTheme="minorHAnsi" w:eastAsiaTheme="minorHAnsi" w:hAnsiTheme="minorHAnsi" w:cstheme="minorBidi"/>
          <w:sz w:val="24"/>
          <w:szCs w:val="24"/>
        </w:rPr>
        <w:t xml:space="preserve"> the hospital’s NSQHS; and/or</w:t>
      </w:r>
    </w:p>
    <w:p w14:paraId="79BD276B" w14:textId="77777777" w:rsidR="00AB5913" w:rsidRPr="007648AB" w:rsidRDefault="00AB5913" w:rsidP="000F5DE6">
      <w:pPr>
        <w:numPr>
          <w:ilvl w:val="1"/>
          <w:numId w:val="15"/>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undertake activities which the Pharmacy Premises Committee determines to be high risk; and/or</w:t>
      </w:r>
    </w:p>
    <w:p w14:paraId="689E3EA3" w14:textId="77777777" w:rsidR="00AB5913" w:rsidRPr="007648AB" w:rsidRDefault="00AB5913" w:rsidP="000F5DE6">
      <w:pPr>
        <w:numPr>
          <w:ilvl w:val="1"/>
          <w:numId w:val="15"/>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have been the subject of a substantiated complaint; and/or</w:t>
      </w:r>
    </w:p>
    <w:p w14:paraId="19D5DC58" w14:textId="77777777" w:rsidR="00AB5913" w:rsidRPr="007648AB" w:rsidRDefault="00AB5913" w:rsidP="000F5DE6">
      <w:pPr>
        <w:numPr>
          <w:ilvl w:val="1"/>
          <w:numId w:val="15"/>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found to have significant non-compliance during a routine inspection.</w:t>
      </w:r>
    </w:p>
    <w:p w14:paraId="3C72C960" w14:textId="77777777" w:rsidR="00AB5913" w:rsidRPr="007648AB" w:rsidRDefault="00AB5913" w:rsidP="00AB5913">
      <w:pPr>
        <w:spacing w:after="0" w:line="276" w:lineRule="auto"/>
        <w:contextualSpacing/>
        <w:rPr>
          <w:rFonts w:asciiTheme="minorHAnsi" w:eastAsiaTheme="minorHAnsi" w:hAnsiTheme="minorHAnsi" w:cstheme="minorBidi"/>
          <w:sz w:val="24"/>
          <w:szCs w:val="24"/>
        </w:rPr>
      </w:pPr>
    </w:p>
    <w:p w14:paraId="1AA44490" w14:textId="77777777" w:rsidR="00AB5913" w:rsidRPr="007648AB" w:rsidRDefault="00AB5913" w:rsidP="000F5DE6">
      <w:pPr>
        <w:pStyle w:val="ListParagraph"/>
        <w:numPr>
          <w:ilvl w:val="0"/>
          <w:numId w:val="13"/>
        </w:numPr>
        <w:spacing w:after="0" w:line="276" w:lineRule="auto"/>
        <w:ind w:left="360"/>
        <w:contextualSpacing/>
        <w:rPr>
          <w:rFonts w:asciiTheme="minorHAnsi" w:eastAsiaTheme="minorHAnsi" w:hAnsiTheme="minorHAnsi" w:cstheme="minorBidi"/>
          <w:b/>
          <w:sz w:val="24"/>
          <w:szCs w:val="24"/>
        </w:rPr>
      </w:pPr>
      <w:r w:rsidRPr="007648AB">
        <w:rPr>
          <w:rFonts w:asciiTheme="minorHAnsi" w:eastAsiaTheme="minorHAnsi" w:hAnsiTheme="minorHAnsi" w:cstheme="minorBidi"/>
          <w:sz w:val="24"/>
          <w:szCs w:val="24"/>
        </w:rPr>
        <w:t xml:space="preserve">    </w:t>
      </w:r>
      <w:r w:rsidRPr="007648AB">
        <w:rPr>
          <w:rFonts w:asciiTheme="minorHAnsi" w:eastAsiaTheme="minorHAnsi" w:hAnsiTheme="minorHAnsi" w:cstheme="minorBidi"/>
          <w:b/>
          <w:sz w:val="24"/>
          <w:szCs w:val="24"/>
        </w:rPr>
        <w:t xml:space="preserve">Pharmacy departments undergoing desktop / remote assessment: </w:t>
      </w:r>
    </w:p>
    <w:p w14:paraId="2AE7163D" w14:textId="77777777" w:rsidR="00AB5913" w:rsidRPr="007648AB" w:rsidRDefault="00AB5913" w:rsidP="000F5DE6">
      <w:pPr>
        <w:pStyle w:val="ListParagraph"/>
        <w:numPr>
          <w:ilvl w:val="1"/>
          <w:numId w:val="14"/>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b/>
          <w:sz w:val="24"/>
          <w:szCs w:val="24"/>
        </w:rPr>
        <w:t>For existing premises</w:t>
      </w:r>
      <w:r w:rsidRPr="007648AB">
        <w:rPr>
          <w:rFonts w:asciiTheme="minorHAnsi" w:eastAsiaTheme="minorHAnsi" w:hAnsiTheme="minorHAnsi" w:cstheme="minorBidi"/>
          <w:sz w:val="24"/>
          <w:szCs w:val="24"/>
        </w:rPr>
        <w:t xml:space="preserve"> – the pharmacy’s certificate of compliance may be extended for up to six (6) months.</w:t>
      </w:r>
    </w:p>
    <w:p w14:paraId="7E4CF866" w14:textId="77777777" w:rsidR="00AB5913" w:rsidRPr="007648AB" w:rsidRDefault="00AB5913" w:rsidP="000F5DE6">
      <w:pPr>
        <w:pStyle w:val="ListParagraph"/>
        <w:numPr>
          <w:ilvl w:val="1"/>
          <w:numId w:val="14"/>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b/>
          <w:sz w:val="24"/>
          <w:szCs w:val="24"/>
        </w:rPr>
        <w:t>For new, relocated and / or refurbished premises</w:t>
      </w:r>
      <w:r w:rsidRPr="007648AB">
        <w:rPr>
          <w:rFonts w:asciiTheme="minorHAnsi" w:eastAsiaTheme="minorHAnsi" w:hAnsiTheme="minorHAnsi" w:cstheme="minorBidi"/>
          <w:sz w:val="24"/>
          <w:szCs w:val="24"/>
        </w:rPr>
        <w:t xml:space="preserve"> - a new certificate of compliance may be issued for up to six (6) months</w:t>
      </w:r>
      <w:r w:rsidR="00B04BA5" w:rsidRPr="007648AB">
        <w:rPr>
          <w:rFonts w:asciiTheme="minorHAnsi" w:eastAsiaTheme="minorHAnsi" w:hAnsiTheme="minorHAnsi" w:cstheme="minorBidi"/>
          <w:sz w:val="24"/>
          <w:szCs w:val="24"/>
        </w:rPr>
        <w:t>.</w:t>
      </w:r>
    </w:p>
    <w:p w14:paraId="69E263E1" w14:textId="77777777" w:rsidR="00B04BA5" w:rsidRPr="007648AB" w:rsidRDefault="00B04BA5" w:rsidP="00E52E67">
      <w:pPr>
        <w:pStyle w:val="ListParagraph"/>
        <w:numPr>
          <w:ilvl w:val="1"/>
          <w:numId w:val="14"/>
        </w:numPr>
        <w:spacing w:after="0" w:line="276" w:lineRule="auto"/>
        <w:contextualSpacing/>
        <w:rPr>
          <w:rFonts w:asciiTheme="minorHAnsi" w:eastAsiaTheme="minorHAnsi" w:hAnsiTheme="minorHAnsi" w:cstheme="minorBidi"/>
          <w:sz w:val="24"/>
          <w:szCs w:val="24"/>
        </w:rPr>
      </w:pPr>
      <w:r w:rsidRPr="007648AB">
        <w:rPr>
          <w:rFonts w:asciiTheme="minorHAnsi" w:eastAsiaTheme="minorHAnsi" w:hAnsiTheme="minorHAnsi" w:cstheme="minorBidi"/>
          <w:sz w:val="24"/>
          <w:szCs w:val="24"/>
        </w:rPr>
        <w:t xml:space="preserve">Any extension beyond six (6) months will be at the discretion of the Pharmacy Premises Committee. </w:t>
      </w:r>
    </w:p>
    <w:p w14:paraId="2D1E8E46" w14:textId="77777777" w:rsidR="00AB5913" w:rsidRPr="007648AB" w:rsidRDefault="00AB5913" w:rsidP="00AB5913">
      <w:pPr>
        <w:spacing w:after="0"/>
        <w:ind w:left="567"/>
        <w:rPr>
          <w:rFonts w:asciiTheme="minorHAnsi" w:eastAsiaTheme="minorHAnsi" w:hAnsiTheme="minorHAnsi" w:cstheme="minorBidi"/>
          <w:sz w:val="24"/>
          <w:szCs w:val="24"/>
        </w:rPr>
      </w:pPr>
    </w:p>
    <w:p w14:paraId="0844DD9D" w14:textId="77777777" w:rsidR="00AB5913" w:rsidRPr="007648AB" w:rsidRDefault="00AB5913" w:rsidP="00AB5913">
      <w:pPr>
        <w:spacing w:after="0"/>
        <w:rPr>
          <w:rFonts w:asciiTheme="minorHAnsi" w:eastAsiaTheme="minorHAnsi" w:hAnsiTheme="minorHAnsi" w:cstheme="minorBidi"/>
          <w:b/>
          <w:sz w:val="24"/>
          <w:szCs w:val="24"/>
        </w:rPr>
      </w:pPr>
      <w:r w:rsidRPr="007648AB">
        <w:rPr>
          <w:rFonts w:asciiTheme="minorHAnsi" w:eastAsiaTheme="minorHAnsi" w:hAnsiTheme="minorHAnsi" w:cstheme="minorBidi"/>
          <w:b/>
          <w:sz w:val="24"/>
          <w:szCs w:val="24"/>
        </w:rPr>
        <w:t>For Items one and two - Inspection and issuing of a Certificate of Compliance:</w:t>
      </w:r>
    </w:p>
    <w:p w14:paraId="54F67CC4" w14:textId="77777777" w:rsidR="00AB5913" w:rsidRPr="007648AB" w:rsidRDefault="00AB5913" w:rsidP="00AB5913">
      <w:pPr>
        <w:spacing w:after="0"/>
        <w:rPr>
          <w:rFonts w:asciiTheme="minorHAnsi" w:eastAsiaTheme="minorHAnsi" w:hAnsiTheme="minorHAnsi" w:cstheme="minorBidi"/>
          <w:sz w:val="24"/>
          <w:szCs w:val="24"/>
        </w:rPr>
      </w:pPr>
    </w:p>
    <w:p w14:paraId="0F1D55E8" w14:textId="77777777" w:rsidR="00AB5913" w:rsidRPr="007648AB" w:rsidRDefault="00AB5913" w:rsidP="00AB5913">
      <w:pPr>
        <w:spacing w:after="0"/>
        <w:rPr>
          <w:rFonts w:asciiTheme="minorHAnsi" w:eastAsiaTheme="minorHAnsi" w:hAnsiTheme="minorHAnsi" w:cstheme="minorBidi"/>
          <w:sz w:val="24"/>
          <w:szCs w:val="24"/>
        </w:rPr>
      </w:pPr>
      <w:r w:rsidRPr="007648AB">
        <w:rPr>
          <w:rFonts w:asciiTheme="minorHAnsi" w:eastAsiaTheme="minorHAnsi" w:hAnsiTheme="minorHAnsi" w:cstheme="minorBidi"/>
          <w:b/>
          <w:sz w:val="24"/>
          <w:szCs w:val="24"/>
        </w:rPr>
        <w:t>Normal Risk</w:t>
      </w:r>
      <w:r w:rsidRPr="007648AB">
        <w:rPr>
          <w:rFonts w:asciiTheme="minorHAnsi" w:eastAsiaTheme="minorHAnsi" w:hAnsiTheme="minorHAnsi" w:cstheme="minorBidi"/>
          <w:sz w:val="24"/>
          <w:szCs w:val="24"/>
        </w:rPr>
        <w:t xml:space="preserve"> – pharmacies will be inspected every two </w:t>
      </w:r>
      <w:r w:rsidR="001473D6" w:rsidRPr="007648AB">
        <w:rPr>
          <w:rFonts w:asciiTheme="minorHAnsi" w:eastAsiaTheme="minorHAnsi" w:hAnsiTheme="minorHAnsi" w:cstheme="minorBidi"/>
          <w:sz w:val="24"/>
          <w:szCs w:val="24"/>
        </w:rPr>
        <w:t xml:space="preserve">(2) </w:t>
      </w:r>
      <w:r w:rsidRPr="007648AB">
        <w:rPr>
          <w:rFonts w:asciiTheme="minorHAnsi" w:eastAsiaTheme="minorHAnsi" w:hAnsiTheme="minorHAnsi" w:cstheme="minorBidi"/>
          <w:sz w:val="24"/>
          <w:szCs w:val="24"/>
        </w:rPr>
        <w:t>years and once deemed compliant, issued with a Certificate of Compliance valid for two years.</w:t>
      </w:r>
    </w:p>
    <w:p w14:paraId="73754B91" w14:textId="77777777" w:rsidR="00AB5913" w:rsidRPr="007648AB" w:rsidRDefault="00AB5913" w:rsidP="00AB5913">
      <w:pPr>
        <w:spacing w:after="0"/>
        <w:rPr>
          <w:rFonts w:asciiTheme="minorHAnsi" w:eastAsiaTheme="minorHAnsi" w:hAnsiTheme="minorHAnsi" w:cstheme="minorBidi"/>
          <w:b/>
          <w:sz w:val="24"/>
          <w:szCs w:val="24"/>
        </w:rPr>
      </w:pPr>
    </w:p>
    <w:p w14:paraId="75E0F2E8" w14:textId="77777777" w:rsidR="00AB5913" w:rsidRPr="007648AB" w:rsidRDefault="00AB5913" w:rsidP="00AB5913">
      <w:pPr>
        <w:spacing w:after="0"/>
        <w:rPr>
          <w:rFonts w:asciiTheme="minorHAnsi" w:hAnsiTheme="minorHAnsi" w:cstheme="minorHAnsi"/>
          <w:sz w:val="24"/>
          <w:szCs w:val="24"/>
        </w:rPr>
      </w:pPr>
      <w:r w:rsidRPr="007648AB">
        <w:rPr>
          <w:rFonts w:asciiTheme="minorHAnsi" w:eastAsiaTheme="minorHAnsi" w:hAnsiTheme="minorHAnsi" w:cstheme="minorBidi"/>
          <w:b/>
          <w:sz w:val="24"/>
          <w:szCs w:val="24"/>
        </w:rPr>
        <w:t>High Risk</w:t>
      </w:r>
      <w:r w:rsidRPr="007648AB">
        <w:rPr>
          <w:rFonts w:asciiTheme="minorHAnsi" w:eastAsiaTheme="minorHAnsi" w:hAnsiTheme="minorHAnsi" w:cstheme="minorBidi"/>
          <w:sz w:val="24"/>
          <w:szCs w:val="24"/>
        </w:rPr>
        <w:t xml:space="preserve"> – pharmacies will be assessed once a year and if deemed compliant, issued with a Certificate of Compliance valid for one year.</w:t>
      </w:r>
    </w:p>
    <w:p w14:paraId="51D3AA96" w14:textId="77777777" w:rsidR="00AB5913" w:rsidRPr="007648AB" w:rsidRDefault="00AB5913" w:rsidP="00AB5913"/>
    <w:sectPr w:rsidR="00AB5913" w:rsidRPr="007648AB" w:rsidSect="00C95D30">
      <w:footerReference w:type="default" r:id="rId17"/>
      <w:headerReference w:type="first" r:id="rId1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7B01" w14:textId="77777777" w:rsidR="00567A24" w:rsidRDefault="00567A24">
      <w:r>
        <w:separator/>
      </w:r>
    </w:p>
  </w:endnote>
  <w:endnote w:type="continuationSeparator" w:id="0">
    <w:p w14:paraId="106EACFB" w14:textId="77777777" w:rsidR="00567A24" w:rsidRDefault="00567A24">
      <w:r>
        <w:continuationSeparator/>
      </w:r>
    </w:p>
  </w:endnote>
  <w:endnote w:type="continuationNotice" w:id="1">
    <w:p w14:paraId="63428BAB" w14:textId="77777777" w:rsidR="00567A24" w:rsidRDefault="00567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66F7EB95" w14:textId="77777777" w:rsidR="00E52E67" w:rsidRDefault="00E52E67"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F46E" w14:textId="77777777" w:rsidR="00E52E67" w:rsidRPr="00F538BD" w:rsidRDefault="00E52E67" w:rsidP="004E7885">
    <w:pPr>
      <w:spacing w:after="0"/>
      <w:jc w:val="right"/>
      <w:rPr>
        <w:sz w:val="6"/>
        <w:szCs w:val="6"/>
      </w:rPr>
    </w:pPr>
    <w:r w:rsidRPr="001852AF">
      <w:rPr>
        <w:noProof/>
        <w:lang w:eastAsia="en-AU"/>
      </w:rPr>
      <w:drawing>
        <wp:inline distT="0" distB="0" distL="0" distR="0" wp14:anchorId="75A5B240" wp14:editId="70B445DF">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1174" w14:textId="77777777" w:rsidR="00E52E67" w:rsidRDefault="00E52E67"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B56" w14:textId="77777777" w:rsidR="00E52E67" w:rsidRPr="00F538BD" w:rsidRDefault="00E52E67"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9472" w14:textId="77777777" w:rsidR="00E52E67" w:rsidRPr="00A50829" w:rsidRDefault="00E52E67"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52E67" w:rsidRPr="00132658" w14:paraId="0FD73F05" w14:textId="77777777" w:rsidTr="00EB1FBE">
      <w:trPr>
        <w:cantSplit/>
        <w:trHeight w:hRule="exact" w:val="850"/>
        <w:tblHeader/>
      </w:trPr>
      <w:tc>
        <w:tcPr>
          <w:tcW w:w="10318" w:type="dxa"/>
          <w:vAlign w:val="bottom"/>
        </w:tcPr>
        <w:p w14:paraId="6781D139" w14:textId="77777777" w:rsidR="00E52E67" w:rsidRDefault="00E52E67" w:rsidP="00A50829">
          <w:pPr>
            <w:spacing w:after="0"/>
            <w:rPr>
              <w:rStyle w:val="PageNumber"/>
              <w:b/>
            </w:rPr>
          </w:pPr>
          <w:r>
            <w:rPr>
              <w:rStyle w:val="PageNumber"/>
            </w:rPr>
            <w:t xml:space="preserve">Department of </w:t>
          </w:r>
          <w:sdt>
            <w:sdtPr>
              <w:rPr>
                <w:rStyle w:val="PageNumber"/>
                <w:b/>
              </w:rPr>
              <w:alias w:val="Company"/>
              <w:tag w:val=""/>
              <w:id w:val="-1550452142"/>
              <w:placeholder>
                <w:docPart w:val="0B8748183FFF4D85A9A6DD4B5F711ECA"/>
              </w:placeholder>
              <w:dataBinding w:prefixMappings="xmlns:ns0='http://schemas.openxmlformats.org/officeDocument/2006/extended-properties' " w:xpath="/ns0:Properties[1]/ns0:Company[1]" w:storeItemID="{6668398D-A668-4E3E-A5EB-62B293D839F1}"/>
              <w:text w:multiLine="1"/>
            </w:sdtPr>
            <w:sdtContent>
              <w:r>
                <w:rPr>
                  <w:rStyle w:val="PageNumber"/>
                  <w:b/>
                </w:rPr>
                <w:t>Health</w:t>
              </w:r>
            </w:sdtContent>
          </w:sdt>
        </w:p>
        <w:p w14:paraId="7A4462A0" w14:textId="3A4B7BE4" w:rsidR="00E52E67" w:rsidRPr="00CE6614" w:rsidRDefault="00000000" w:rsidP="00A50829">
          <w:pPr>
            <w:spacing w:after="0"/>
            <w:rPr>
              <w:rStyle w:val="PageNumber"/>
            </w:rPr>
          </w:pPr>
          <w:sdt>
            <w:sdtPr>
              <w:rPr>
                <w:rStyle w:val="PageNumber"/>
              </w:rPr>
              <w:alias w:val="Date"/>
              <w:tag w:val=""/>
              <w:id w:val="1578473972"/>
              <w:placeholder>
                <w:docPart w:val="9142FACF60EF4689818946DF42C1C52F"/>
              </w:placeholder>
              <w:dataBinding w:prefixMappings="xmlns:ns0='http://schemas.microsoft.com/office/2006/coverPageProps' " w:xpath="/ns0:CoverPageProperties[1]/ns0:PublishDate[1]" w:storeItemID="{55AF091B-3C7A-41E3-B477-F2FDAA23CFDA}"/>
              <w15:color w:val="000000"/>
              <w:date w:fullDate="2025-10-30T00:00:00Z">
                <w:dateFormat w:val="d MMMM yyyy"/>
                <w:lid w:val="en-AU"/>
                <w:storeMappedDataAs w:val="dateTime"/>
                <w:calendar w:val="gregorian"/>
              </w:date>
            </w:sdtPr>
            <w:sdtContent>
              <w:r w:rsidR="00755D99">
                <w:rPr>
                  <w:rStyle w:val="PageNumber"/>
                </w:rPr>
                <w:t>30 October 2025</w:t>
              </w:r>
            </w:sdtContent>
          </w:sdt>
          <w:r w:rsidR="00E52E67" w:rsidRPr="00CE6614">
            <w:rPr>
              <w:rStyle w:val="PageNumber"/>
            </w:rPr>
            <w:t xml:space="preserve"> | </w:t>
          </w:r>
          <w:r w:rsidR="00E52E67">
            <w:rPr>
              <w:rStyle w:val="PageNumber"/>
            </w:rPr>
            <w:t xml:space="preserve">PS10 </w:t>
          </w:r>
          <w:r w:rsidR="00E52E67" w:rsidRPr="00CE6614">
            <w:rPr>
              <w:rStyle w:val="PageNumber"/>
            </w:rPr>
            <w:t xml:space="preserve">Version </w:t>
          </w:r>
          <w:r w:rsidR="00E52E67">
            <w:rPr>
              <w:rStyle w:val="PageNumber"/>
            </w:rPr>
            <w:t>1.</w:t>
          </w:r>
          <w:r w:rsidR="00EB1B82">
            <w:rPr>
              <w:rStyle w:val="PageNumber"/>
            </w:rPr>
            <w:t>5</w:t>
          </w:r>
        </w:p>
        <w:p w14:paraId="2C889C0C" w14:textId="07C95373" w:rsidR="00E52E67" w:rsidRPr="00AC4488" w:rsidRDefault="00E52E67" w:rsidP="00E4549C">
          <w:pPr>
            <w:spacing w:after="0"/>
            <w:jc w:val="cente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B6AD2">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B6AD2">
            <w:rPr>
              <w:rStyle w:val="PageNumber"/>
              <w:noProof/>
            </w:rPr>
            <w:t>15</w:t>
          </w:r>
          <w:r w:rsidRPr="00AC4488">
            <w:rPr>
              <w:rStyle w:val="PageNumber"/>
            </w:rPr>
            <w:fldChar w:fldCharType="end"/>
          </w:r>
        </w:p>
      </w:tc>
    </w:tr>
  </w:tbl>
  <w:p w14:paraId="4F99614E" w14:textId="77777777" w:rsidR="00E52E67" w:rsidRDefault="00E52E67"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BD10" w14:textId="77777777" w:rsidR="00567A24" w:rsidRDefault="00567A24">
      <w:r>
        <w:separator/>
      </w:r>
    </w:p>
  </w:footnote>
  <w:footnote w:type="continuationSeparator" w:id="0">
    <w:p w14:paraId="33C2FCF0" w14:textId="77777777" w:rsidR="00567A24" w:rsidRDefault="00567A24">
      <w:r>
        <w:continuationSeparator/>
      </w:r>
    </w:p>
  </w:footnote>
  <w:footnote w:type="continuationNotice" w:id="1">
    <w:p w14:paraId="5669AD6C" w14:textId="77777777" w:rsidR="00567A24" w:rsidRDefault="00567A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802A" w14:textId="77777777" w:rsidR="00E52E67" w:rsidRPr="008E0345" w:rsidRDefault="00000000" w:rsidP="005A5A44">
    <w:pPr>
      <w:pStyle w:val="Header"/>
    </w:pPr>
    <w:sdt>
      <w:sdtPr>
        <w:alias w:val="Title"/>
        <w:tag w:val=""/>
        <w:id w:val="-477918894"/>
        <w:placeholder>
          <w:docPart w:val="01715669ADC64218BE930550CA4D3987"/>
        </w:placeholder>
        <w:dataBinding w:prefixMappings="xmlns:ns0='http://purl.org/dc/elements/1.1/' xmlns:ns1='http://schemas.openxmlformats.org/package/2006/metadata/core-properties' " w:xpath="/ns1:coreProperties[1]/ns0:title[1]" w:storeItemID="{6C3C8BC8-F283-45AE-878A-BAB7291924A1}"/>
        <w:text/>
      </w:sdtPr>
      <w:sdtContent>
        <w:r w:rsidR="00E52E67">
          <w:t>Pharmacy Premises Committee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49DA" w14:textId="77777777" w:rsidR="00E52E67" w:rsidRPr="00BD0F38" w:rsidRDefault="00E52E67" w:rsidP="00A32EFF">
    <w:pPr>
      <w:tabs>
        <w:tab w:val="right" w:pos="10318"/>
      </w:tabs>
    </w:pPr>
    <w:r w:rsidRPr="00BD0F38">
      <w:rPr>
        <w:noProof/>
        <w:lang w:eastAsia="en-AU"/>
      </w:rPr>
      <w:drawing>
        <wp:anchor distT="0" distB="0" distL="0" distR="0" simplePos="0" relativeHeight="251659264" behindDoc="0" locked="0" layoutInCell="1" allowOverlap="1" wp14:anchorId="6E6257AF" wp14:editId="4DCABC46">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5E64" w14:textId="77777777" w:rsidR="00E52E67" w:rsidRPr="004E7885" w:rsidRDefault="00000000" w:rsidP="00630E95">
    <w:pPr>
      <w:pStyle w:val="Header"/>
      <w:spacing w:after="0"/>
    </w:pPr>
    <w:sdt>
      <w:sdtPr>
        <w:alias w:val="Title"/>
        <w:tag w:val="Title"/>
        <w:id w:val="94911156"/>
        <w:lock w:val="sdtLocked"/>
        <w:placeholder>
          <w:docPart w:val="01715669ADC64218BE930550CA4D3987"/>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E52E67">
          <w:t>Pharmacy Premises Committee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12D3" w14:textId="77777777" w:rsidR="00E52E67" w:rsidRPr="00274F1C" w:rsidRDefault="00E52E67"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A4408005DA6647BB9D4CCE954B934308"/>
      </w:placeholder>
      <w:dataBinding w:prefixMappings="xmlns:ns0='http://purl.org/dc/elements/1.1/' xmlns:ns1='http://schemas.openxmlformats.org/package/2006/metadata/core-properties' " w:xpath="/ns1:coreProperties[1]/ns0:title[1]" w:storeItemID="{6C3C8BC8-F283-45AE-878A-BAB7291924A1}"/>
      <w:text/>
    </w:sdtPr>
    <w:sdtContent>
      <w:p w14:paraId="35527AB0" w14:textId="77777777" w:rsidR="00E52E67" w:rsidRPr="00964B22" w:rsidRDefault="00E52E67" w:rsidP="008E0345">
        <w:pPr>
          <w:pStyle w:val="Header"/>
          <w:rPr>
            <w:b/>
          </w:rPr>
        </w:pPr>
        <w:r>
          <w:t>Pharmacy Premises Committee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CD"/>
    <w:multiLevelType w:val="hybridMultilevel"/>
    <w:tmpl w:val="8D381774"/>
    <w:lvl w:ilvl="0" w:tplc="9BFC9798">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84B4A"/>
    <w:multiLevelType w:val="hybridMultilevel"/>
    <w:tmpl w:val="3DC88132"/>
    <w:lvl w:ilvl="0" w:tplc="D6D65270">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3588B"/>
    <w:multiLevelType w:val="hybridMultilevel"/>
    <w:tmpl w:val="184EE53A"/>
    <w:lvl w:ilvl="0" w:tplc="EC369A8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E0A4C"/>
    <w:multiLevelType w:val="hybridMultilevel"/>
    <w:tmpl w:val="57640340"/>
    <w:lvl w:ilvl="0" w:tplc="9E1C2AA2">
      <w:start w:val="1"/>
      <w:numFmt w:val="bullet"/>
      <w:lvlText w:val=""/>
      <w:lvlJc w:val="left"/>
      <w:pPr>
        <w:ind w:left="567" w:hanging="567"/>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6518FE"/>
    <w:multiLevelType w:val="hybridMultilevel"/>
    <w:tmpl w:val="F9001D4C"/>
    <w:lvl w:ilvl="0" w:tplc="44B0972C">
      <w:start w:val="1"/>
      <w:numFmt w:val="bullet"/>
      <w:lvlText w:val=""/>
      <w:lvlJc w:val="left"/>
      <w:pPr>
        <w:ind w:left="567" w:hanging="567"/>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081B5A"/>
    <w:multiLevelType w:val="hybridMultilevel"/>
    <w:tmpl w:val="F4C60072"/>
    <w:lvl w:ilvl="0" w:tplc="0EE0002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9A97C81"/>
    <w:multiLevelType w:val="hybridMultilevel"/>
    <w:tmpl w:val="605E7514"/>
    <w:lvl w:ilvl="0" w:tplc="68D08E80">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135584"/>
    <w:multiLevelType w:val="hybridMultilevel"/>
    <w:tmpl w:val="D5B06F24"/>
    <w:lvl w:ilvl="0" w:tplc="653AEBBE">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2FB56497"/>
    <w:multiLevelType w:val="hybridMultilevel"/>
    <w:tmpl w:val="75689FDC"/>
    <w:lvl w:ilvl="0" w:tplc="5C62AB18">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435562AD"/>
    <w:multiLevelType w:val="hybridMultilevel"/>
    <w:tmpl w:val="C0F04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2F1FDE"/>
    <w:multiLevelType w:val="hybridMultilevel"/>
    <w:tmpl w:val="66A42BDE"/>
    <w:lvl w:ilvl="0" w:tplc="8736CC0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F4F59B5"/>
    <w:multiLevelType w:val="hybridMultilevel"/>
    <w:tmpl w:val="84D086F8"/>
    <w:lvl w:ilvl="0" w:tplc="0C7A19C2">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55E2BFE"/>
    <w:multiLevelType w:val="hybridMultilevel"/>
    <w:tmpl w:val="D47AC9C0"/>
    <w:lvl w:ilvl="0" w:tplc="233C0ACC">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43A58AB"/>
    <w:multiLevelType w:val="hybridMultilevel"/>
    <w:tmpl w:val="1B82AE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44B5541"/>
    <w:multiLevelType w:val="hybridMultilevel"/>
    <w:tmpl w:val="EB76BEAA"/>
    <w:lvl w:ilvl="0" w:tplc="1102B72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C12429B"/>
    <w:multiLevelType w:val="hybridMultilevel"/>
    <w:tmpl w:val="DC543352"/>
    <w:lvl w:ilvl="0" w:tplc="2826AB02">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62B10EE"/>
    <w:multiLevelType w:val="hybridMultilevel"/>
    <w:tmpl w:val="4B7C5F4E"/>
    <w:lvl w:ilvl="0" w:tplc="382EBD68">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2D5B6C"/>
    <w:multiLevelType w:val="hybridMultilevel"/>
    <w:tmpl w:val="E9C483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2"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3" w15:restartNumberingAfterBreak="0">
    <w:nsid w:val="7B025544"/>
    <w:multiLevelType w:val="hybridMultilevel"/>
    <w:tmpl w:val="A81847D0"/>
    <w:lvl w:ilvl="0" w:tplc="5F607D0E">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8E378E"/>
    <w:multiLevelType w:val="hybridMultilevel"/>
    <w:tmpl w:val="FD3224EC"/>
    <w:lvl w:ilvl="0" w:tplc="6FBE329C">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F44CD1"/>
    <w:multiLevelType w:val="hybridMultilevel"/>
    <w:tmpl w:val="343A1862"/>
    <w:lvl w:ilvl="0" w:tplc="0C09000F">
      <w:start w:val="1"/>
      <w:numFmt w:val="decimal"/>
      <w:lvlText w:val="%1."/>
      <w:lvlJc w:val="left"/>
      <w:pPr>
        <w:ind w:left="720" w:hanging="360"/>
      </w:pPr>
      <w:rPr>
        <w:rFonts w:hint="default"/>
      </w:rPr>
    </w:lvl>
    <w:lvl w:ilvl="1" w:tplc="F1A00A2A">
      <w:start w:val="1"/>
      <w:numFmt w:val="lowerLetter"/>
      <w:lvlText w:val="%2."/>
      <w:lvlJc w:val="left"/>
      <w:pPr>
        <w:ind w:left="1701" w:hanging="621"/>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24336455">
    <w:abstractNumId w:val="28"/>
  </w:num>
  <w:num w:numId="2" w16cid:durableId="845480536">
    <w:abstractNumId w:val="17"/>
  </w:num>
  <w:num w:numId="3" w16cid:durableId="899946045">
    <w:abstractNumId w:val="52"/>
  </w:num>
  <w:num w:numId="4" w16cid:durableId="1249340984">
    <w:abstractNumId w:val="34"/>
  </w:num>
  <w:num w:numId="5" w16cid:durableId="1811556329">
    <w:abstractNumId w:val="22"/>
  </w:num>
  <w:num w:numId="6" w16cid:durableId="1059014970">
    <w:abstractNumId w:val="13"/>
  </w:num>
  <w:num w:numId="7" w16cid:durableId="155076034">
    <w:abstractNumId w:val="37"/>
  </w:num>
  <w:num w:numId="8" w16cid:durableId="80177042">
    <w:abstractNumId w:val="20"/>
  </w:num>
  <w:num w:numId="9" w16cid:durableId="926114520">
    <w:abstractNumId w:val="29"/>
  </w:num>
  <w:num w:numId="10" w16cid:durableId="654992320">
    <w:abstractNumId w:val="31"/>
  </w:num>
  <w:num w:numId="11" w16cid:durableId="671689793">
    <w:abstractNumId w:val="51"/>
  </w:num>
  <w:num w:numId="12" w16cid:durableId="493112791">
    <w:abstractNumId w:val="44"/>
  </w:num>
  <w:num w:numId="13" w16cid:durableId="1222210965">
    <w:abstractNumId w:val="55"/>
  </w:num>
  <w:num w:numId="14" w16cid:durableId="1287543151">
    <w:abstractNumId w:val="55"/>
    <w:lvlOverride w:ilvl="0">
      <w:lvl w:ilvl="0" w:tplc="0C09000F">
        <w:start w:val="1"/>
        <w:numFmt w:val="lowerLetter"/>
        <w:lvlText w:val="%1."/>
        <w:lvlJc w:val="left"/>
        <w:pPr>
          <w:ind w:left="0" w:firstLine="0"/>
        </w:pPr>
        <w:rPr>
          <w:rFonts w:hint="default"/>
        </w:rPr>
      </w:lvl>
    </w:lvlOverride>
    <w:lvlOverride w:ilvl="1">
      <w:lvl w:ilvl="1" w:tplc="F1A00A2A">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16cid:durableId="492452816">
    <w:abstractNumId w:val="55"/>
    <w:lvlOverride w:ilvl="0">
      <w:lvl w:ilvl="0" w:tplc="0C09000F">
        <w:start w:val="1"/>
        <w:numFmt w:val="lowerLetter"/>
        <w:lvlText w:val="%1."/>
        <w:lvlJc w:val="left"/>
        <w:pPr>
          <w:ind w:left="1134" w:hanging="567"/>
        </w:pPr>
        <w:rPr>
          <w:rFonts w:hint="default"/>
        </w:rPr>
      </w:lvl>
    </w:lvlOverride>
    <w:lvlOverride w:ilvl="1">
      <w:lvl w:ilvl="1" w:tplc="F1A00A2A">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16cid:durableId="37902972">
    <w:abstractNumId w:val="47"/>
  </w:num>
  <w:num w:numId="17" w16cid:durableId="1334337803">
    <w:abstractNumId w:val="53"/>
  </w:num>
  <w:num w:numId="18" w16cid:durableId="116291477">
    <w:abstractNumId w:val="21"/>
  </w:num>
  <w:num w:numId="19" w16cid:durableId="818619399">
    <w:abstractNumId w:val="45"/>
  </w:num>
  <w:num w:numId="20" w16cid:durableId="2095544544">
    <w:abstractNumId w:val="36"/>
  </w:num>
  <w:num w:numId="21" w16cid:durableId="700589774">
    <w:abstractNumId w:val="8"/>
  </w:num>
  <w:num w:numId="22" w16cid:durableId="1739353526">
    <w:abstractNumId w:val="54"/>
  </w:num>
  <w:num w:numId="23" w16cid:durableId="89352459">
    <w:abstractNumId w:val="1"/>
  </w:num>
  <w:num w:numId="24" w16cid:durableId="1673756186">
    <w:abstractNumId w:val="2"/>
  </w:num>
  <w:num w:numId="25" w16cid:durableId="1036085128">
    <w:abstractNumId w:val="0"/>
  </w:num>
  <w:num w:numId="26" w16cid:durableId="307446008">
    <w:abstractNumId w:val="9"/>
  </w:num>
  <w:num w:numId="27" w16cid:durableId="1193962240">
    <w:abstractNumId w:val="26"/>
  </w:num>
  <w:num w:numId="28" w16cid:durableId="125196536">
    <w:abstractNumId w:val="39"/>
  </w:num>
  <w:num w:numId="29" w16cid:durableId="791558513">
    <w:abstractNumId w:val="33"/>
  </w:num>
  <w:num w:numId="30" w16cid:durableId="361708856">
    <w:abstractNumId w:val="23"/>
  </w:num>
  <w:num w:numId="31" w16cid:durableId="614675404">
    <w:abstractNumId w:val="50"/>
  </w:num>
  <w:num w:numId="32" w16cid:durableId="1122114508">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19"/>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665C7"/>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0F5DE6"/>
    <w:rsid w:val="00104E7F"/>
    <w:rsid w:val="001137EC"/>
    <w:rsid w:val="001152F5"/>
    <w:rsid w:val="00117743"/>
    <w:rsid w:val="00117F5B"/>
    <w:rsid w:val="0012354C"/>
    <w:rsid w:val="00132658"/>
    <w:rsid w:val="00132D41"/>
    <w:rsid w:val="001473D6"/>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A78D4"/>
    <w:rsid w:val="001B2B6C"/>
    <w:rsid w:val="001B2FB8"/>
    <w:rsid w:val="001C1219"/>
    <w:rsid w:val="001D01C4"/>
    <w:rsid w:val="001D52B0"/>
    <w:rsid w:val="001D5A18"/>
    <w:rsid w:val="001D7CA4"/>
    <w:rsid w:val="001E057F"/>
    <w:rsid w:val="001E14EB"/>
    <w:rsid w:val="001E1D4D"/>
    <w:rsid w:val="001F1E71"/>
    <w:rsid w:val="001F59E6"/>
    <w:rsid w:val="00202014"/>
    <w:rsid w:val="00206936"/>
    <w:rsid w:val="00206C6F"/>
    <w:rsid w:val="00206FBD"/>
    <w:rsid w:val="00207746"/>
    <w:rsid w:val="00221220"/>
    <w:rsid w:val="00230031"/>
    <w:rsid w:val="00235C01"/>
    <w:rsid w:val="00236878"/>
    <w:rsid w:val="00247343"/>
    <w:rsid w:val="00247538"/>
    <w:rsid w:val="002560AF"/>
    <w:rsid w:val="0025634F"/>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3185"/>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26F4"/>
    <w:rsid w:val="003258E6"/>
    <w:rsid w:val="00342283"/>
    <w:rsid w:val="00343A87"/>
    <w:rsid w:val="00344A36"/>
    <w:rsid w:val="003456F4"/>
    <w:rsid w:val="00347FB6"/>
    <w:rsid w:val="003504FD"/>
    <w:rsid w:val="00350881"/>
    <w:rsid w:val="00357D55"/>
    <w:rsid w:val="003612E3"/>
    <w:rsid w:val="00363513"/>
    <w:rsid w:val="003657E5"/>
    <w:rsid w:val="0036589C"/>
    <w:rsid w:val="00371312"/>
    <w:rsid w:val="00371DC7"/>
    <w:rsid w:val="00375E02"/>
    <w:rsid w:val="003765C6"/>
    <w:rsid w:val="00376BF0"/>
    <w:rsid w:val="00377B21"/>
    <w:rsid w:val="00381433"/>
    <w:rsid w:val="00386FE2"/>
    <w:rsid w:val="00390CE3"/>
    <w:rsid w:val="00394876"/>
    <w:rsid w:val="00394AAF"/>
    <w:rsid w:val="00394CE5"/>
    <w:rsid w:val="003A6341"/>
    <w:rsid w:val="003B123E"/>
    <w:rsid w:val="003B173F"/>
    <w:rsid w:val="003B67FD"/>
    <w:rsid w:val="003B6A61"/>
    <w:rsid w:val="003D3850"/>
    <w:rsid w:val="003D42C0"/>
    <w:rsid w:val="003D5B29"/>
    <w:rsid w:val="003D7818"/>
    <w:rsid w:val="003E1A34"/>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560F"/>
    <w:rsid w:val="00466185"/>
    <w:rsid w:val="004668A7"/>
    <w:rsid w:val="00466D96"/>
    <w:rsid w:val="00467747"/>
    <w:rsid w:val="00473C98"/>
    <w:rsid w:val="00474965"/>
    <w:rsid w:val="00482DF8"/>
    <w:rsid w:val="004864DE"/>
    <w:rsid w:val="00494BE5"/>
    <w:rsid w:val="004A0EBA"/>
    <w:rsid w:val="004A2538"/>
    <w:rsid w:val="004A5093"/>
    <w:rsid w:val="004B0C15"/>
    <w:rsid w:val="004B35EA"/>
    <w:rsid w:val="004B69E4"/>
    <w:rsid w:val="004B7373"/>
    <w:rsid w:val="004C2BF4"/>
    <w:rsid w:val="004C6C39"/>
    <w:rsid w:val="004D075F"/>
    <w:rsid w:val="004D1B76"/>
    <w:rsid w:val="004D344E"/>
    <w:rsid w:val="004E019E"/>
    <w:rsid w:val="004E06EC"/>
    <w:rsid w:val="004E0FD7"/>
    <w:rsid w:val="004E11BA"/>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35422"/>
    <w:rsid w:val="00543BD1"/>
    <w:rsid w:val="00546D7E"/>
    <w:rsid w:val="00556113"/>
    <w:rsid w:val="00563AA2"/>
    <w:rsid w:val="00564C12"/>
    <w:rsid w:val="005654B8"/>
    <w:rsid w:val="00567A24"/>
    <w:rsid w:val="0057067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E01AA"/>
    <w:rsid w:val="005E144D"/>
    <w:rsid w:val="005E1500"/>
    <w:rsid w:val="005E386E"/>
    <w:rsid w:val="005E3A43"/>
    <w:rsid w:val="005E51A4"/>
    <w:rsid w:val="005F77C7"/>
    <w:rsid w:val="00620675"/>
    <w:rsid w:val="00622910"/>
    <w:rsid w:val="00622E24"/>
    <w:rsid w:val="00630E95"/>
    <w:rsid w:val="006433C3"/>
    <w:rsid w:val="00647A30"/>
    <w:rsid w:val="00650F5B"/>
    <w:rsid w:val="00652DC0"/>
    <w:rsid w:val="00660584"/>
    <w:rsid w:val="006670D7"/>
    <w:rsid w:val="00667797"/>
    <w:rsid w:val="006719EA"/>
    <w:rsid w:val="00671F13"/>
    <w:rsid w:val="0067400A"/>
    <w:rsid w:val="00674253"/>
    <w:rsid w:val="006747E0"/>
    <w:rsid w:val="006847AD"/>
    <w:rsid w:val="0069114B"/>
    <w:rsid w:val="006A756A"/>
    <w:rsid w:val="006C396A"/>
    <w:rsid w:val="006D1ADA"/>
    <w:rsid w:val="006D66F7"/>
    <w:rsid w:val="006E0377"/>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51E1"/>
    <w:rsid w:val="00755248"/>
    <w:rsid w:val="007557E0"/>
    <w:rsid w:val="00755D99"/>
    <w:rsid w:val="0076190B"/>
    <w:rsid w:val="0076355D"/>
    <w:rsid w:val="00763A2D"/>
    <w:rsid w:val="007648AB"/>
    <w:rsid w:val="00764EFB"/>
    <w:rsid w:val="00774C6E"/>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19D3"/>
    <w:rsid w:val="007E2470"/>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510B"/>
    <w:rsid w:val="00901622"/>
    <w:rsid w:val="00902B13"/>
    <w:rsid w:val="00911941"/>
    <w:rsid w:val="009138A0"/>
    <w:rsid w:val="00925F0F"/>
    <w:rsid w:val="00930C91"/>
    <w:rsid w:val="00930C97"/>
    <w:rsid w:val="00932F6B"/>
    <w:rsid w:val="009436FF"/>
    <w:rsid w:val="009468BC"/>
    <w:rsid w:val="009616DF"/>
    <w:rsid w:val="00964B22"/>
    <w:rsid w:val="0096542F"/>
    <w:rsid w:val="00966B57"/>
    <w:rsid w:val="00967FA7"/>
    <w:rsid w:val="00970619"/>
    <w:rsid w:val="00971645"/>
    <w:rsid w:val="00971958"/>
    <w:rsid w:val="00972144"/>
    <w:rsid w:val="00977919"/>
    <w:rsid w:val="00983000"/>
    <w:rsid w:val="00984D9B"/>
    <w:rsid w:val="009863A2"/>
    <w:rsid w:val="009870FA"/>
    <w:rsid w:val="0099031F"/>
    <w:rsid w:val="009921C3"/>
    <w:rsid w:val="0099551D"/>
    <w:rsid w:val="009A5897"/>
    <w:rsid w:val="009A5F24"/>
    <w:rsid w:val="009B0B3E"/>
    <w:rsid w:val="009B1913"/>
    <w:rsid w:val="009B6657"/>
    <w:rsid w:val="009B7C35"/>
    <w:rsid w:val="009C21F1"/>
    <w:rsid w:val="009D0EB5"/>
    <w:rsid w:val="009D14F9"/>
    <w:rsid w:val="009D2B74"/>
    <w:rsid w:val="009D63FF"/>
    <w:rsid w:val="009E003C"/>
    <w:rsid w:val="009E1289"/>
    <w:rsid w:val="009E175D"/>
    <w:rsid w:val="009E2315"/>
    <w:rsid w:val="009E3CC2"/>
    <w:rsid w:val="009F06BD"/>
    <w:rsid w:val="009F2A4D"/>
    <w:rsid w:val="009F3302"/>
    <w:rsid w:val="00A00828"/>
    <w:rsid w:val="00A03290"/>
    <w:rsid w:val="00A07490"/>
    <w:rsid w:val="00A10655"/>
    <w:rsid w:val="00A11893"/>
    <w:rsid w:val="00A1197C"/>
    <w:rsid w:val="00A12B64"/>
    <w:rsid w:val="00A14484"/>
    <w:rsid w:val="00A22C38"/>
    <w:rsid w:val="00A25193"/>
    <w:rsid w:val="00A26E80"/>
    <w:rsid w:val="00A31AE8"/>
    <w:rsid w:val="00A32EFF"/>
    <w:rsid w:val="00A3739D"/>
    <w:rsid w:val="00A37DDA"/>
    <w:rsid w:val="00A37ED8"/>
    <w:rsid w:val="00A50829"/>
    <w:rsid w:val="00A7794A"/>
    <w:rsid w:val="00A871F0"/>
    <w:rsid w:val="00A925EC"/>
    <w:rsid w:val="00A929AA"/>
    <w:rsid w:val="00A92B6B"/>
    <w:rsid w:val="00A955A9"/>
    <w:rsid w:val="00AA4C49"/>
    <w:rsid w:val="00AA541E"/>
    <w:rsid w:val="00AB409E"/>
    <w:rsid w:val="00AB5913"/>
    <w:rsid w:val="00AB7EE6"/>
    <w:rsid w:val="00AD0DA4"/>
    <w:rsid w:val="00AD134E"/>
    <w:rsid w:val="00AD1B26"/>
    <w:rsid w:val="00AD23F7"/>
    <w:rsid w:val="00AD4169"/>
    <w:rsid w:val="00AD7557"/>
    <w:rsid w:val="00AE25C6"/>
    <w:rsid w:val="00AE306C"/>
    <w:rsid w:val="00AF28C1"/>
    <w:rsid w:val="00B02EF1"/>
    <w:rsid w:val="00B04BA5"/>
    <w:rsid w:val="00B070B3"/>
    <w:rsid w:val="00B07C97"/>
    <w:rsid w:val="00B07EA1"/>
    <w:rsid w:val="00B11C67"/>
    <w:rsid w:val="00B11CF4"/>
    <w:rsid w:val="00B15754"/>
    <w:rsid w:val="00B15A27"/>
    <w:rsid w:val="00B16E1E"/>
    <w:rsid w:val="00B2046E"/>
    <w:rsid w:val="00B20E8B"/>
    <w:rsid w:val="00B257E1"/>
    <w:rsid w:val="00B2599A"/>
    <w:rsid w:val="00B27AC4"/>
    <w:rsid w:val="00B343CC"/>
    <w:rsid w:val="00B43C75"/>
    <w:rsid w:val="00B5084A"/>
    <w:rsid w:val="00B606A1"/>
    <w:rsid w:val="00B614F7"/>
    <w:rsid w:val="00B61B26"/>
    <w:rsid w:val="00B675B2"/>
    <w:rsid w:val="00B74C60"/>
    <w:rsid w:val="00B81261"/>
    <w:rsid w:val="00B818B9"/>
    <w:rsid w:val="00B8223E"/>
    <w:rsid w:val="00B832AE"/>
    <w:rsid w:val="00B86678"/>
    <w:rsid w:val="00B92F9B"/>
    <w:rsid w:val="00B941B3"/>
    <w:rsid w:val="00B952BF"/>
    <w:rsid w:val="00B96513"/>
    <w:rsid w:val="00BA0CAF"/>
    <w:rsid w:val="00BA1D47"/>
    <w:rsid w:val="00BA66F0"/>
    <w:rsid w:val="00BB2239"/>
    <w:rsid w:val="00BB2AE7"/>
    <w:rsid w:val="00BB6464"/>
    <w:rsid w:val="00BC1BB8"/>
    <w:rsid w:val="00BD0F38"/>
    <w:rsid w:val="00BD7FE1"/>
    <w:rsid w:val="00BE37CA"/>
    <w:rsid w:val="00BE4B2A"/>
    <w:rsid w:val="00BE6144"/>
    <w:rsid w:val="00BE635A"/>
    <w:rsid w:val="00BE73FD"/>
    <w:rsid w:val="00BF17E9"/>
    <w:rsid w:val="00BF2ABB"/>
    <w:rsid w:val="00BF5099"/>
    <w:rsid w:val="00C10F10"/>
    <w:rsid w:val="00C15D4D"/>
    <w:rsid w:val="00C175DC"/>
    <w:rsid w:val="00C30171"/>
    <w:rsid w:val="00C309D8"/>
    <w:rsid w:val="00C33998"/>
    <w:rsid w:val="00C43519"/>
    <w:rsid w:val="00C51537"/>
    <w:rsid w:val="00C51B73"/>
    <w:rsid w:val="00C52BC3"/>
    <w:rsid w:val="00C5584B"/>
    <w:rsid w:val="00C61AFA"/>
    <w:rsid w:val="00C61D64"/>
    <w:rsid w:val="00C62099"/>
    <w:rsid w:val="00C64EA3"/>
    <w:rsid w:val="00C72867"/>
    <w:rsid w:val="00C75E81"/>
    <w:rsid w:val="00C75F52"/>
    <w:rsid w:val="00C86609"/>
    <w:rsid w:val="00C92B4C"/>
    <w:rsid w:val="00C954F6"/>
    <w:rsid w:val="00C95D30"/>
    <w:rsid w:val="00CA04DB"/>
    <w:rsid w:val="00CA6BC5"/>
    <w:rsid w:val="00CB3E57"/>
    <w:rsid w:val="00CB5B68"/>
    <w:rsid w:val="00CC1CCA"/>
    <w:rsid w:val="00CC61CD"/>
    <w:rsid w:val="00CD4FA8"/>
    <w:rsid w:val="00CD5011"/>
    <w:rsid w:val="00CE640F"/>
    <w:rsid w:val="00CE76BC"/>
    <w:rsid w:val="00CF540E"/>
    <w:rsid w:val="00D02F07"/>
    <w:rsid w:val="00D23346"/>
    <w:rsid w:val="00D27EBE"/>
    <w:rsid w:val="00D34D0C"/>
    <w:rsid w:val="00D36A49"/>
    <w:rsid w:val="00D517C6"/>
    <w:rsid w:val="00D64806"/>
    <w:rsid w:val="00D71D84"/>
    <w:rsid w:val="00D72464"/>
    <w:rsid w:val="00D768EB"/>
    <w:rsid w:val="00D7750D"/>
    <w:rsid w:val="00D82D1E"/>
    <w:rsid w:val="00D832D9"/>
    <w:rsid w:val="00D90F00"/>
    <w:rsid w:val="00D94F6B"/>
    <w:rsid w:val="00D975C0"/>
    <w:rsid w:val="00DA5285"/>
    <w:rsid w:val="00DB191D"/>
    <w:rsid w:val="00DB4F91"/>
    <w:rsid w:val="00DC0575"/>
    <w:rsid w:val="00DC1EF7"/>
    <w:rsid w:val="00DC1F0F"/>
    <w:rsid w:val="00DC3117"/>
    <w:rsid w:val="00DC5DD9"/>
    <w:rsid w:val="00DC6D2D"/>
    <w:rsid w:val="00DD64C2"/>
    <w:rsid w:val="00DE33B5"/>
    <w:rsid w:val="00DE5E18"/>
    <w:rsid w:val="00DE6E01"/>
    <w:rsid w:val="00DF0487"/>
    <w:rsid w:val="00DF2C46"/>
    <w:rsid w:val="00DF5EA4"/>
    <w:rsid w:val="00E01CE2"/>
    <w:rsid w:val="00E02681"/>
    <w:rsid w:val="00E02792"/>
    <w:rsid w:val="00E034D8"/>
    <w:rsid w:val="00E04CC0"/>
    <w:rsid w:val="00E15816"/>
    <w:rsid w:val="00E160D5"/>
    <w:rsid w:val="00E22E40"/>
    <w:rsid w:val="00E239FF"/>
    <w:rsid w:val="00E27D7B"/>
    <w:rsid w:val="00E30556"/>
    <w:rsid w:val="00E30981"/>
    <w:rsid w:val="00E33136"/>
    <w:rsid w:val="00E34D7C"/>
    <w:rsid w:val="00E36C7E"/>
    <w:rsid w:val="00E3723D"/>
    <w:rsid w:val="00E44C89"/>
    <w:rsid w:val="00E4549C"/>
    <w:rsid w:val="00E45536"/>
    <w:rsid w:val="00E52E67"/>
    <w:rsid w:val="00E61BA2"/>
    <w:rsid w:val="00E63586"/>
    <w:rsid w:val="00E63864"/>
    <w:rsid w:val="00E6403F"/>
    <w:rsid w:val="00E64725"/>
    <w:rsid w:val="00E74944"/>
    <w:rsid w:val="00E770C4"/>
    <w:rsid w:val="00E77ACA"/>
    <w:rsid w:val="00E830F5"/>
    <w:rsid w:val="00E84C5A"/>
    <w:rsid w:val="00E861DB"/>
    <w:rsid w:val="00E90FA2"/>
    <w:rsid w:val="00E93406"/>
    <w:rsid w:val="00E956C5"/>
    <w:rsid w:val="00E95C39"/>
    <w:rsid w:val="00E977DB"/>
    <w:rsid w:val="00EA2C39"/>
    <w:rsid w:val="00EB0A3C"/>
    <w:rsid w:val="00EB0A96"/>
    <w:rsid w:val="00EB1B82"/>
    <w:rsid w:val="00EB1FBE"/>
    <w:rsid w:val="00EB3D43"/>
    <w:rsid w:val="00EB6AD2"/>
    <w:rsid w:val="00EB77F9"/>
    <w:rsid w:val="00EC5769"/>
    <w:rsid w:val="00EC7D00"/>
    <w:rsid w:val="00ED0304"/>
    <w:rsid w:val="00ED087C"/>
    <w:rsid w:val="00ED3E95"/>
    <w:rsid w:val="00EE38FA"/>
    <w:rsid w:val="00EE3E2C"/>
    <w:rsid w:val="00EE466C"/>
    <w:rsid w:val="00EE5D23"/>
    <w:rsid w:val="00EE750D"/>
    <w:rsid w:val="00EF3CA4"/>
    <w:rsid w:val="00EF5AEC"/>
    <w:rsid w:val="00EF5E1F"/>
    <w:rsid w:val="00EF7859"/>
    <w:rsid w:val="00F014DA"/>
    <w:rsid w:val="00F02591"/>
    <w:rsid w:val="00F13212"/>
    <w:rsid w:val="00F14273"/>
    <w:rsid w:val="00F15D8F"/>
    <w:rsid w:val="00F479D5"/>
    <w:rsid w:val="00F5696E"/>
    <w:rsid w:val="00F60EFF"/>
    <w:rsid w:val="00F615DF"/>
    <w:rsid w:val="00F67D2D"/>
    <w:rsid w:val="00F70155"/>
    <w:rsid w:val="00F72553"/>
    <w:rsid w:val="00F8093F"/>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BC51"/>
  <w15:docId w15:val="{2B4212D9-090E-4761-9EB5-C25179EB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DF2C46"/>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CommentReference">
    <w:name w:val="annotation reference"/>
    <w:basedOn w:val="DefaultParagraphFont"/>
    <w:uiPriority w:val="99"/>
    <w:semiHidden/>
    <w:unhideWhenUsed/>
    <w:rsid w:val="00A14484"/>
    <w:rPr>
      <w:sz w:val="16"/>
      <w:szCs w:val="16"/>
    </w:rPr>
  </w:style>
  <w:style w:type="paragraph" w:styleId="CommentText">
    <w:name w:val="annotation text"/>
    <w:basedOn w:val="Normal"/>
    <w:link w:val="CommentTextChar"/>
    <w:uiPriority w:val="99"/>
    <w:unhideWhenUsed/>
    <w:rsid w:val="00A14484"/>
    <w:rPr>
      <w:sz w:val="20"/>
      <w:szCs w:val="20"/>
    </w:rPr>
  </w:style>
  <w:style w:type="character" w:customStyle="1" w:styleId="CommentTextChar">
    <w:name w:val="Comment Text Char"/>
    <w:basedOn w:val="DefaultParagraphFont"/>
    <w:link w:val="CommentText"/>
    <w:uiPriority w:val="99"/>
    <w:rsid w:val="00A1448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14484"/>
    <w:rPr>
      <w:b/>
      <w:bCs/>
    </w:rPr>
  </w:style>
  <w:style w:type="character" w:customStyle="1" w:styleId="CommentSubjectChar">
    <w:name w:val="Comment Subject Char"/>
    <w:basedOn w:val="CommentTextChar"/>
    <w:link w:val="CommentSubject"/>
    <w:uiPriority w:val="99"/>
    <w:semiHidden/>
    <w:rsid w:val="00A14484"/>
    <w:rPr>
      <w:rFonts w:ascii="Lato" w:hAnsi="Lato"/>
      <w:b/>
      <w:bCs/>
      <w:sz w:val="20"/>
      <w:szCs w:val="20"/>
    </w:rPr>
  </w:style>
  <w:style w:type="paragraph" w:styleId="BalloonText">
    <w:name w:val="Balloon Text"/>
    <w:basedOn w:val="Normal"/>
    <w:link w:val="BalloonTextChar"/>
    <w:uiPriority w:val="99"/>
    <w:semiHidden/>
    <w:unhideWhenUsed/>
    <w:rsid w:val="00A144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484"/>
    <w:rPr>
      <w:rFonts w:ascii="Segoe UI" w:hAnsi="Segoe UI" w:cs="Segoe UI"/>
      <w:sz w:val="18"/>
      <w:szCs w:val="18"/>
    </w:rPr>
  </w:style>
  <w:style w:type="paragraph" w:styleId="Revision">
    <w:name w:val="Revision"/>
    <w:hidden/>
    <w:uiPriority w:val="99"/>
    <w:semiHidden/>
    <w:rsid w:val="000665C7"/>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5B1C1E9764D28AAC2B9E9377AF8F5"/>
        <w:category>
          <w:name w:val="General"/>
          <w:gallery w:val="placeholder"/>
        </w:category>
        <w:types>
          <w:type w:val="bbPlcHdr"/>
        </w:types>
        <w:behaviors>
          <w:behavior w:val="content"/>
        </w:behaviors>
        <w:guid w:val="{D64ED95A-CBCA-4C29-80BC-739D76FF38C1}"/>
      </w:docPartPr>
      <w:docPartBody>
        <w:p w:rsidR="0082317D" w:rsidRDefault="00AB0921">
          <w:pPr>
            <w:pStyle w:val="77F5B1C1E9764D28AAC2B9E9377AF8F5"/>
          </w:pPr>
          <w:r>
            <w:t>&lt;Document title&gt;</w:t>
          </w:r>
        </w:p>
      </w:docPartBody>
    </w:docPart>
    <w:docPart>
      <w:docPartPr>
        <w:name w:val="B2ED96FE2E494A58804610CA67029AE6"/>
        <w:category>
          <w:name w:val="General"/>
          <w:gallery w:val="placeholder"/>
        </w:category>
        <w:types>
          <w:type w:val="bbPlcHdr"/>
        </w:types>
        <w:behaviors>
          <w:behavior w:val="content"/>
        </w:behaviors>
        <w:guid w:val="{70467DC1-87CA-4D72-8253-0381E37664EF}"/>
      </w:docPartPr>
      <w:docPartBody>
        <w:p w:rsidR="0082317D" w:rsidRDefault="00AB0921">
          <w:pPr>
            <w:pStyle w:val="B2ED96FE2E494A58804610CA67029AE6"/>
          </w:pPr>
          <w:r w:rsidRPr="004E7885">
            <w:rPr>
              <w:rStyle w:val="PlaceholderText"/>
            </w:rPr>
            <w:t>&lt;Document title&gt;</w:t>
          </w:r>
        </w:p>
      </w:docPartBody>
    </w:docPart>
    <w:docPart>
      <w:docPartPr>
        <w:name w:val="01715669ADC64218BE930550CA4D3987"/>
        <w:category>
          <w:name w:val="General"/>
          <w:gallery w:val="placeholder"/>
        </w:category>
        <w:types>
          <w:type w:val="bbPlcHdr"/>
        </w:types>
        <w:behaviors>
          <w:behavior w:val="content"/>
        </w:behaviors>
        <w:guid w:val="{72BBA9EE-1E88-47D9-9CB2-8D3BBD3888FE}"/>
      </w:docPartPr>
      <w:docPartBody>
        <w:p w:rsidR="0082317D" w:rsidRDefault="00AB0921">
          <w:pPr>
            <w:pStyle w:val="01715669ADC64218BE930550CA4D3987"/>
          </w:pPr>
          <w:r w:rsidRPr="004E7885">
            <w:rPr>
              <w:rStyle w:val="PlaceholderText"/>
            </w:rPr>
            <w:t>&lt;Document title&gt;</w:t>
          </w:r>
        </w:p>
      </w:docPartBody>
    </w:docPart>
    <w:docPart>
      <w:docPartPr>
        <w:name w:val="0B8748183FFF4D85A9A6DD4B5F711ECA"/>
        <w:category>
          <w:name w:val="General"/>
          <w:gallery w:val="placeholder"/>
        </w:category>
        <w:types>
          <w:type w:val="bbPlcHdr"/>
        </w:types>
        <w:behaviors>
          <w:behavior w:val="content"/>
        </w:behaviors>
        <w:guid w:val="{95C1E21B-C57C-4718-9B8A-6725C02AA4A8}"/>
      </w:docPartPr>
      <w:docPartBody>
        <w:p w:rsidR="0082317D" w:rsidRDefault="00AB0921">
          <w:pPr>
            <w:pStyle w:val="0B8748183FFF4D85A9A6DD4B5F711ECA"/>
          </w:pPr>
          <w:r w:rsidRPr="007B29CC">
            <w:rPr>
              <w:rStyle w:val="PlaceholderText"/>
            </w:rPr>
            <w:t>[Company]</w:t>
          </w:r>
        </w:p>
      </w:docPartBody>
    </w:docPart>
    <w:docPart>
      <w:docPartPr>
        <w:name w:val="9142FACF60EF4689818946DF42C1C52F"/>
        <w:category>
          <w:name w:val="General"/>
          <w:gallery w:val="placeholder"/>
        </w:category>
        <w:types>
          <w:type w:val="bbPlcHdr"/>
        </w:types>
        <w:behaviors>
          <w:behavior w:val="content"/>
        </w:behaviors>
        <w:guid w:val="{5F33CA39-DD41-4F3A-8784-01542C19EB7D}"/>
      </w:docPartPr>
      <w:docPartBody>
        <w:p w:rsidR="0082317D" w:rsidRDefault="00AB0921">
          <w:pPr>
            <w:pStyle w:val="9142FACF60EF4689818946DF42C1C52F"/>
          </w:pPr>
          <w:r w:rsidRPr="005076E2">
            <w:t>&lt;Date Month Year&gt;</w:t>
          </w:r>
        </w:p>
      </w:docPartBody>
    </w:docPart>
    <w:docPart>
      <w:docPartPr>
        <w:name w:val="A4408005DA6647BB9D4CCE954B934308"/>
        <w:category>
          <w:name w:val="General"/>
          <w:gallery w:val="placeholder"/>
        </w:category>
        <w:types>
          <w:type w:val="bbPlcHdr"/>
        </w:types>
        <w:behaviors>
          <w:behavior w:val="content"/>
        </w:behaviors>
        <w:guid w:val="{88125E62-C926-4378-8CE7-0C2E76930F2E}"/>
      </w:docPartPr>
      <w:docPartBody>
        <w:p w:rsidR="0082317D" w:rsidRDefault="00AB0921">
          <w:pPr>
            <w:pStyle w:val="A4408005DA6647BB9D4CCE954B9343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21"/>
    <w:rsid w:val="000D617B"/>
    <w:rsid w:val="0012354C"/>
    <w:rsid w:val="001B7212"/>
    <w:rsid w:val="00203727"/>
    <w:rsid w:val="002C231C"/>
    <w:rsid w:val="003C262C"/>
    <w:rsid w:val="0040219A"/>
    <w:rsid w:val="004C1171"/>
    <w:rsid w:val="004D3F9B"/>
    <w:rsid w:val="0068400E"/>
    <w:rsid w:val="0082317D"/>
    <w:rsid w:val="008256A6"/>
    <w:rsid w:val="008A0700"/>
    <w:rsid w:val="00912854"/>
    <w:rsid w:val="00970619"/>
    <w:rsid w:val="00AB0921"/>
    <w:rsid w:val="00BF2A07"/>
    <w:rsid w:val="00CA6253"/>
    <w:rsid w:val="00CD4FA8"/>
    <w:rsid w:val="00D830FF"/>
    <w:rsid w:val="00EC5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F5B1C1E9764D28AAC2B9E9377AF8F5">
    <w:name w:val="77F5B1C1E9764D28AAC2B9E9377AF8F5"/>
  </w:style>
  <w:style w:type="character" w:styleId="PlaceholderText">
    <w:name w:val="Placeholder Text"/>
    <w:basedOn w:val="DefaultParagraphFont"/>
    <w:uiPriority w:val="99"/>
    <w:semiHidden/>
    <w:rPr>
      <w:color w:val="808080"/>
    </w:rPr>
  </w:style>
  <w:style w:type="paragraph" w:customStyle="1" w:styleId="B2ED96FE2E494A58804610CA67029AE6">
    <w:name w:val="B2ED96FE2E494A58804610CA67029AE6"/>
  </w:style>
  <w:style w:type="paragraph" w:customStyle="1" w:styleId="01715669ADC64218BE930550CA4D3987">
    <w:name w:val="01715669ADC64218BE930550CA4D3987"/>
  </w:style>
  <w:style w:type="paragraph" w:customStyle="1" w:styleId="0B8748183FFF4D85A9A6DD4B5F711ECA">
    <w:name w:val="0B8748183FFF4D85A9A6DD4B5F711ECA"/>
  </w:style>
  <w:style w:type="paragraph" w:customStyle="1" w:styleId="9142FACF60EF4689818946DF42C1C52F">
    <w:name w:val="9142FACF60EF4689818946DF42C1C52F"/>
  </w:style>
  <w:style w:type="paragraph" w:customStyle="1" w:styleId="A4408005DA6647BB9D4CCE954B934308">
    <w:name w:val="A4408005DA6647BB9D4CCE954B93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E1F06-43DF-4181-8B67-868CFB7E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4665</Words>
  <Characters>26734</Characters>
  <Application>Microsoft Office Word</Application>
  <DocSecurity>0</DocSecurity>
  <Lines>652</Lines>
  <Paragraphs>430</Paragraphs>
  <ScaleCrop>false</ScaleCrop>
  <HeadingPairs>
    <vt:vector size="2" baseType="variant">
      <vt:variant>
        <vt:lpstr>Title</vt:lpstr>
      </vt:variant>
      <vt:variant>
        <vt:i4>1</vt:i4>
      </vt:variant>
    </vt:vector>
  </HeadingPairs>
  <TitlesOfParts>
    <vt:vector size="1" baseType="lpstr">
      <vt:lpstr>Pharmacy Premises Committee</vt:lpstr>
    </vt:vector>
  </TitlesOfParts>
  <Company>Health</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Premises Committee</dc:title>
  <dc:creator>Northern Territory Government</dc:creator>
  <cp:lastModifiedBy>Peter Kern</cp:lastModifiedBy>
  <cp:revision>3</cp:revision>
  <cp:lastPrinted>2016-02-04T04:37:00Z</cp:lastPrinted>
  <dcterms:created xsi:type="dcterms:W3CDTF">2025-12-04T02:22:00Z</dcterms:created>
  <dcterms:modified xsi:type="dcterms:W3CDTF">2025-12-04T02:23:00Z</dcterms:modified>
</cp:coreProperties>
</file>