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C236E2" w14:paraId="58625C80" w14:textId="77777777" w:rsidTr="00A85348">
        <w:tc>
          <w:tcPr>
            <w:tcW w:w="9242" w:type="dxa"/>
          </w:tcPr>
          <w:p w14:paraId="562B210E" w14:textId="77777777" w:rsidR="00C236E2" w:rsidRPr="00421DA0" w:rsidRDefault="00C236E2" w:rsidP="00A85348">
            <w:pPr>
              <w:pStyle w:val="Default"/>
              <w:jc w:val="center"/>
              <w:rPr>
                <w:b/>
                <w:bCs/>
                <w:color w:val="E36C0A" w:themeColor="accent6" w:themeShade="BF"/>
                <w:sz w:val="30"/>
                <w:szCs w:val="30"/>
              </w:rPr>
            </w:pPr>
            <w:r w:rsidRPr="00421DA0">
              <w:rPr>
                <w:b/>
                <w:bCs/>
                <w:color w:val="E36C0A" w:themeColor="accent6" w:themeShade="BF"/>
                <w:sz w:val="30"/>
                <w:szCs w:val="30"/>
              </w:rPr>
              <w:t>PHARMACY PREMISES COMMITTEE OF THE NORTHERN TERRITORY</w:t>
            </w:r>
          </w:p>
          <w:p w14:paraId="4F9FEAC1" w14:textId="77777777" w:rsidR="00C236E2" w:rsidRPr="00421DA0" w:rsidRDefault="00C236E2" w:rsidP="00A85348">
            <w:pPr>
              <w:pStyle w:val="Default"/>
              <w:jc w:val="center"/>
              <w:rPr>
                <w:b/>
                <w:bCs/>
                <w:color w:val="E36C0A" w:themeColor="accent6" w:themeShade="BF"/>
                <w:sz w:val="14"/>
                <w:szCs w:val="14"/>
              </w:rPr>
            </w:pPr>
          </w:p>
          <w:p w14:paraId="44FDD1B1" w14:textId="67621489" w:rsidR="00C236E2" w:rsidRDefault="00C236E2" w:rsidP="00C236E2">
            <w:pPr>
              <w:pStyle w:val="Default"/>
              <w:jc w:val="center"/>
            </w:pPr>
            <w:r w:rsidRPr="00421DA0">
              <w:rPr>
                <w:b/>
                <w:bCs/>
                <w:color w:val="E36C0A" w:themeColor="accent6" w:themeShade="BF"/>
                <w:sz w:val="30"/>
                <w:szCs w:val="30"/>
              </w:rPr>
              <w:t>PG</w:t>
            </w:r>
            <w:r>
              <w:rPr>
                <w:b/>
                <w:bCs/>
                <w:color w:val="E36C0A" w:themeColor="accent6" w:themeShade="BF"/>
                <w:sz w:val="30"/>
                <w:szCs w:val="30"/>
              </w:rPr>
              <w:t>8:</w:t>
            </w:r>
            <w:r w:rsidRPr="00421DA0">
              <w:rPr>
                <w:b/>
                <w:bCs/>
                <w:color w:val="E36C0A" w:themeColor="accent6" w:themeShade="BF"/>
                <w:sz w:val="30"/>
                <w:szCs w:val="30"/>
              </w:rPr>
              <w:t xml:space="preserve"> </w:t>
            </w:r>
            <w:r>
              <w:rPr>
                <w:b/>
                <w:bCs/>
                <w:color w:val="E36C0A" w:themeColor="accent6" w:themeShade="BF"/>
                <w:sz w:val="30"/>
                <w:szCs w:val="30"/>
              </w:rPr>
              <w:t>NT GUIDANCE – INTELLECTUAL PROPERTY LICENCE AGREEMENTS</w:t>
            </w:r>
          </w:p>
        </w:tc>
      </w:tr>
    </w:tbl>
    <w:p w14:paraId="25B598AD" w14:textId="6F305D50" w:rsidR="000C56C4" w:rsidRDefault="0079726B" w:rsidP="00C236E2">
      <w:pPr>
        <w:pStyle w:val="BodyText"/>
        <w:spacing w:before="267"/>
        <w:ind w:left="160" w:right="207"/>
      </w:pPr>
      <w:r>
        <w:t xml:space="preserve">Some pharmacies in Australia operate under the brand name of a larger company but are owned by </w:t>
      </w:r>
      <w:r w:rsidR="000C1B76">
        <w:t>an independent authorised pharmacy business owner</w:t>
      </w:r>
      <w:r>
        <w:t>. In those circumstances the pharmacy may operate</w:t>
      </w:r>
      <w:r>
        <w:rPr>
          <w:spacing w:val="-7"/>
        </w:rPr>
        <w:t xml:space="preserve"> </w:t>
      </w:r>
      <w:r>
        <w:t>pursuant</w:t>
      </w:r>
      <w:r>
        <w:rPr>
          <w:spacing w:val="-8"/>
        </w:rPr>
        <w:t xml:space="preserve"> </w:t>
      </w:r>
      <w:r>
        <w:t>to</w:t>
      </w:r>
      <w:r>
        <w:rPr>
          <w:spacing w:val="-7"/>
        </w:rPr>
        <w:t xml:space="preserve"> </w:t>
      </w:r>
      <w:r>
        <w:t>an</w:t>
      </w:r>
      <w:r>
        <w:rPr>
          <w:spacing w:val="-6"/>
        </w:rPr>
        <w:t xml:space="preserve"> </w:t>
      </w:r>
      <w:r>
        <w:t>intellectual</w:t>
      </w:r>
      <w:r>
        <w:rPr>
          <w:spacing w:val="-6"/>
        </w:rPr>
        <w:t xml:space="preserve"> </w:t>
      </w:r>
      <w:r>
        <w:t>property</w:t>
      </w:r>
      <w:r>
        <w:rPr>
          <w:spacing w:val="-6"/>
        </w:rPr>
        <w:t xml:space="preserve"> </w:t>
      </w:r>
      <w:r>
        <w:t>licence</w:t>
      </w:r>
      <w:r>
        <w:rPr>
          <w:spacing w:val="-6"/>
        </w:rPr>
        <w:t xml:space="preserve"> </w:t>
      </w:r>
      <w:r>
        <w:t>agreement,</w:t>
      </w:r>
      <w:r>
        <w:rPr>
          <w:spacing w:val="-6"/>
        </w:rPr>
        <w:t xml:space="preserve"> </w:t>
      </w:r>
      <w:r>
        <w:t>which</w:t>
      </w:r>
      <w:r>
        <w:rPr>
          <w:spacing w:val="-6"/>
        </w:rPr>
        <w:t xml:space="preserve"> </w:t>
      </w:r>
      <w:r>
        <w:t>provides</w:t>
      </w:r>
      <w:r>
        <w:rPr>
          <w:spacing w:val="-7"/>
        </w:rPr>
        <w:t xml:space="preserve"> </w:t>
      </w:r>
      <w:r>
        <w:t>the</w:t>
      </w:r>
      <w:r>
        <w:rPr>
          <w:spacing w:val="-7"/>
        </w:rPr>
        <w:t xml:space="preserve"> </w:t>
      </w:r>
      <w:r>
        <w:t>pharmacy business</w:t>
      </w:r>
      <w:r>
        <w:rPr>
          <w:spacing w:val="-12"/>
        </w:rPr>
        <w:t xml:space="preserve"> </w:t>
      </w:r>
      <w:r>
        <w:t>owner</w:t>
      </w:r>
      <w:r>
        <w:rPr>
          <w:spacing w:val="-11"/>
        </w:rPr>
        <w:t xml:space="preserve"> </w:t>
      </w:r>
      <w:r>
        <w:t>with</w:t>
      </w:r>
      <w:r>
        <w:rPr>
          <w:spacing w:val="-15"/>
        </w:rPr>
        <w:t xml:space="preserve"> </w:t>
      </w:r>
      <w:r>
        <w:t>the</w:t>
      </w:r>
      <w:r>
        <w:rPr>
          <w:spacing w:val="-15"/>
        </w:rPr>
        <w:t xml:space="preserve"> </w:t>
      </w:r>
      <w:r>
        <w:t>rights</w:t>
      </w:r>
      <w:r>
        <w:rPr>
          <w:spacing w:val="-17"/>
        </w:rPr>
        <w:t xml:space="preserve"> </w:t>
      </w:r>
      <w:r>
        <w:t>to</w:t>
      </w:r>
      <w:r>
        <w:rPr>
          <w:spacing w:val="-15"/>
        </w:rPr>
        <w:t xml:space="preserve"> </w:t>
      </w:r>
      <w:r>
        <w:t>use</w:t>
      </w:r>
      <w:r>
        <w:rPr>
          <w:spacing w:val="-15"/>
        </w:rPr>
        <w:t xml:space="preserve"> </w:t>
      </w:r>
      <w:r>
        <w:t>or</w:t>
      </w:r>
      <w:r>
        <w:rPr>
          <w:spacing w:val="-13"/>
        </w:rPr>
        <w:t xml:space="preserve"> </w:t>
      </w:r>
      <w:r>
        <w:t>display</w:t>
      </w:r>
      <w:r>
        <w:rPr>
          <w:spacing w:val="-14"/>
        </w:rPr>
        <w:t xml:space="preserve"> </w:t>
      </w:r>
      <w:r>
        <w:t>the</w:t>
      </w:r>
      <w:r>
        <w:rPr>
          <w:spacing w:val="-15"/>
        </w:rPr>
        <w:t xml:space="preserve"> </w:t>
      </w:r>
      <w:r>
        <w:t>intellectual</w:t>
      </w:r>
      <w:r>
        <w:rPr>
          <w:spacing w:val="-15"/>
        </w:rPr>
        <w:t xml:space="preserve"> </w:t>
      </w:r>
      <w:r>
        <w:t>property</w:t>
      </w:r>
      <w:r>
        <w:rPr>
          <w:spacing w:val="-14"/>
        </w:rPr>
        <w:t xml:space="preserve"> </w:t>
      </w:r>
      <w:r>
        <w:t>(usually</w:t>
      </w:r>
      <w:r>
        <w:rPr>
          <w:spacing w:val="-14"/>
        </w:rPr>
        <w:t xml:space="preserve"> </w:t>
      </w:r>
      <w:r>
        <w:t>the</w:t>
      </w:r>
      <w:r>
        <w:rPr>
          <w:spacing w:val="-15"/>
        </w:rPr>
        <w:t xml:space="preserve"> </w:t>
      </w:r>
      <w:r>
        <w:t>branding) of the larger company (</w:t>
      </w:r>
      <w:r>
        <w:rPr>
          <w:b/>
        </w:rPr>
        <w:t>the Licensor</w:t>
      </w:r>
      <w:r>
        <w:t>), both in-store and/or online (</w:t>
      </w:r>
      <w:r>
        <w:rPr>
          <w:b/>
        </w:rPr>
        <w:t>Licence</w:t>
      </w:r>
      <w:r>
        <w:rPr>
          <w:b/>
          <w:spacing w:val="-22"/>
        </w:rPr>
        <w:t xml:space="preserve"> </w:t>
      </w:r>
      <w:r>
        <w:rPr>
          <w:b/>
        </w:rPr>
        <w:t>Agreement</w:t>
      </w:r>
      <w:r>
        <w:t>).</w:t>
      </w:r>
    </w:p>
    <w:p w14:paraId="42AEF4B9" w14:textId="77777777" w:rsidR="000C56C4" w:rsidRDefault="000C56C4" w:rsidP="00C236E2">
      <w:pPr>
        <w:pStyle w:val="BodyText"/>
        <w:spacing w:before="10"/>
        <w:ind w:left="160"/>
      </w:pPr>
    </w:p>
    <w:p w14:paraId="4CEF28CF" w14:textId="77777777" w:rsidR="000C56C4" w:rsidRDefault="0079726B" w:rsidP="00C236E2">
      <w:pPr>
        <w:pStyle w:val="BodyText"/>
        <w:ind w:left="160" w:right="208"/>
      </w:pPr>
      <w:r>
        <w:t>The “Intellectual Property” of a company may include its brand name, trademarks, patents, visual imagery, slogans, advertising text, marketing flyers and collateral, video content, computer software, or even music. Intellectual Property is generally owned by the creator or producer of the material and permission must be granted for its use, either expressly or through a Licence Agreement.</w:t>
      </w:r>
    </w:p>
    <w:p w14:paraId="0DFD719B" w14:textId="77777777" w:rsidR="000C56C4" w:rsidRDefault="000C56C4" w:rsidP="00C236E2">
      <w:pPr>
        <w:pStyle w:val="BodyText"/>
        <w:spacing w:before="2"/>
        <w:ind w:left="160"/>
        <w:rPr>
          <w:sz w:val="23"/>
        </w:rPr>
      </w:pPr>
    </w:p>
    <w:p w14:paraId="4EFC0A12" w14:textId="77777777" w:rsidR="000C56C4" w:rsidRDefault="0079726B" w:rsidP="00C236E2">
      <w:pPr>
        <w:pStyle w:val="BodyText"/>
        <w:ind w:left="160" w:right="207"/>
      </w:pPr>
      <w:r>
        <w:t>On occasion, the products that are sold in pharmacies are offered to the pharmacy business licensee with an accompanying intellectual property Licence Agreement which provides the pharmacy</w:t>
      </w:r>
      <w:r>
        <w:rPr>
          <w:spacing w:val="-9"/>
        </w:rPr>
        <w:t xml:space="preserve"> </w:t>
      </w:r>
      <w:r>
        <w:t>business</w:t>
      </w:r>
      <w:r>
        <w:rPr>
          <w:spacing w:val="-7"/>
        </w:rPr>
        <w:t xml:space="preserve"> </w:t>
      </w:r>
      <w:r>
        <w:t>with</w:t>
      </w:r>
      <w:r>
        <w:rPr>
          <w:spacing w:val="-8"/>
        </w:rPr>
        <w:t xml:space="preserve"> </w:t>
      </w:r>
      <w:r>
        <w:t>rights</w:t>
      </w:r>
      <w:r>
        <w:rPr>
          <w:spacing w:val="-9"/>
        </w:rPr>
        <w:t xml:space="preserve"> </w:t>
      </w:r>
      <w:r>
        <w:t>to</w:t>
      </w:r>
      <w:r>
        <w:rPr>
          <w:spacing w:val="-8"/>
        </w:rPr>
        <w:t xml:space="preserve"> </w:t>
      </w:r>
      <w:r>
        <w:t>use</w:t>
      </w:r>
      <w:r>
        <w:rPr>
          <w:spacing w:val="-8"/>
        </w:rPr>
        <w:t xml:space="preserve"> </w:t>
      </w:r>
      <w:r>
        <w:t>or</w:t>
      </w:r>
      <w:r>
        <w:rPr>
          <w:spacing w:val="-6"/>
        </w:rPr>
        <w:t xml:space="preserve"> </w:t>
      </w:r>
      <w:r>
        <w:t>display</w:t>
      </w:r>
      <w:r>
        <w:rPr>
          <w:spacing w:val="-8"/>
        </w:rPr>
        <w:t xml:space="preserve"> </w:t>
      </w:r>
      <w:r>
        <w:t>the</w:t>
      </w:r>
      <w:r>
        <w:rPr>
          <w:spacing w:val="-8"/>
        </w:rPr>
        <w:t xml:space="preserve"> </w:t>
      </w:r>
      <w:r>
        <w:t>intellectual</w:t>
      </w:r>
      <w:r>
        <w:rPr>
          <w:spacing w:val="-8"/>
        </w:rPr>
        <w:t xml:space="preserve"> </w:t>
      </w:r>
      <w:r>
        <w:t>property</w:t>
      </w:r>
      <w:r>
        <w:rPr>
          <w:spacing w:val="-9"/>
        </w:rPr>
        <w:t xml:space="preserve"> </w:t>
      </w:r>
      <w:r>
        <w:t>of</w:t>
      </w:r>
      <w:r>
        <w:rPr>
          <w:spacing w:val="-4"/>
        </w:rPr>
        <w:t xml:space="preserve"> </w:t>
      </w:r>
      <w:r>
        <w:t>the</w:t>
      </w:r>
      <w:r>
        <w:rPr>
          <w:spacing w:val="-8"/>
        </w:rPr>
        <w:t xml:space="preserve"> </w:t>
      </w:r>
      <w:r>
        <w:t>product</w:t>
      </w:r>
      <w:r>
        <w:rPr>
          <w:spacing w:val="-8"/>
        </w:rPr>
        <w:t xml:space="preserve"> </w:t>
      </w:r>
      <w:r>
        <w:t>owner, both in-store and</w:t>
      </w:r>
      <w:r>
        <w:rPr>
          <w:spacing w:val="-4"/>
        </w:rPr>
        <w:t xml:space="preserve"> </w:t>
      </w:r>
      <w:r>
        <w:t>online.</w:t>
      </w:r>
    </w:p>
    <w:p w14:paraId="361B284F" w14:textId="77777777" w:rsidR="000C56C4" w:rsidRDefault="000C56C4" w:rsidP="00C236E2">
      <w:pPr>
        <w:pStyle w:val="BodyText"/>
        <w:ind w:left="160"/>
        <w:rPr>
          <w:sz w:val="23"/>
        </w:rPr>
      </w:pPr>
    </w:p>
    <w:p w14:paraId="4AE63B63" w14:textId="271F2E5E" w:rsidR="000C56C4" w:rsidRDefault="0079726B" w:rsidP="00C236E2">
      <w:pPr>
        <w:ind w:left="160" w:right="209"/>
      </w:pPr>
      <w:r>
        <w:t xml:space="preserve">Before entering </w:t>
      </w:r>
      <w:r w:rsidR="00A801EB">
        <w:t>into</w:t>
      </w:r>
      <w:r>
        <w:t xml:space="preserve"> any intellectual property Licence Agreement, it is very important to be aware</w:t>
      </w:r>
      <w:r>
        <w:rPr>
          <w:spacing w:val="-12"/>
        </w:rPr>
        <w:t xml:space="preserve"> </w:t>
      </w:r>
      <w:r>
        <w:t>of</w:t>
      </w:r>
      <w:r>
        <w:rPr>
          <w:spacing w:val="-11"/>
        </w:rPr>
        <w:t xml:space="preserve"> </w:t>
      </w:r>
      <w:r>
        <w:t>the</w:t>
      </w:r>
      <w:r>
        <w:rPr>
          <w:spacing w:val="-15"/>
        </w:rPr>
        <w:t xml:space="preserve"> </w:t>
      </w:r>
      <w:r>
        <w:t>undue</w:t>
      </w:r>
      <w:r>
        <w:rPr>
          <w:spacing w:val="-12"/>
        </w:rPr>
        <w:t xml:space="preserve"> </w:t>
      </w:r>
      <w:r>
        <w:t>influence</w:t>
      </w:r>
      <w:r>
        <w:rPr>
          <w:spacing w:val="-12"/>
        </w:rPr>
        <w:t xml:space="preserve"> </w:t>
      </w:r>
      <w:r>
        <w:t>provisions</w:t>
      </w:r>
      <w:r>
        <w:rPr>
          <w:spacing w:val="-12"/>
        </w:rPr>
        <w:t xml:space="preserve"> </w:t>
      </w:r>
      <w:r>
        <w:t>of</w:t>
      </w:r>
      <w:r>
        <w:rPr>
          <w:spacing w:val="-11"/>
        </w:rPr>
        <w:t xml:space="preserve"> </w:t>
      </w:r>
      <w:r>
        <w:t>the</w:t>
      </w:r>
      <w:r>
        <w:rPr>
          <w:spacing w:val="-15"/>
        </w:rPr>
        <w:t xml:space="preserve"> </w:t>
      </w:r>
      <w:r w:rsidR="000C1B76">
        <w:rPr>
          <w:i/>
        </w:rPr>
        <w:t>Health Practitioners Act</w:t>
      </w:r>
      <w:r w:rsidR="00AC2FAA">
        <w:rPr>
          <w:i/>
        </w:rPr>
        <w:t xml:space="preserve"> </w:t>
      </w:r>
      <w:r w:rsidR="00AC2FAA" w:rsidRPr="00A37580">
        <w:rPr>
          <w:i/>
        </w:rPr>
        <w:t>2004</w:t>
      </w:r>
      <w:r w:rsidRPr="00A37580">
        <w:rPr>
          <w:i/>
          <w:spacing w:val="-10"/>
        </w:rPr>
        <w:t xml:space="preserve"> </w:t>
      </w:r>
      <w:r>
        <w:t>(</w:t>
      </w:r>
      <w:r>
        <w:rPr>
          <w:b/>
        </w:rPr>
        <w:t>the</w:t>
      </w:r>
      <w:r>
        <w:rPr>
          <w:b/>
          <w:spacing w:val="-10"/>
        </w:rPr>
        <w:t xml:space="preserve"> </w:t>
      </w:r>
      <w:r>
        <w:rPr>
          <w:b/>
          <w:spacing w:val="-3"/>
        </w:rPr>
        <w:t>Act</w:t>
      </w:r>
      <w:r>
        <w:rPr>
          <w:spacing w:val="-3"/>
        </w:rPr>
        <w:t>).</w:t>
      </w:r>
    </w:p>
    <w:p w14:paraId="7D8112E3" w14:textId="77777777" w:rsidR="000C56C4" w:rsidRDefault="000C56C4" w:rsidP="00C236E2">
      <w:pPr>
        <w:pStyle w:val="BodyText"/>
        <w:spacing w:before="1"/>
        <w:ind w:left="160"/>
        <w:rPr>
          <w:sz w:val="23"/>
        </w:rPr>
      </w:pPr>
    </w:p>
    <w:p w14:paraId="5BBE8B12" w14:textId="77777777" w:rsidR="000C56C4" w:rsidRDefault="0079726B" w:rsidP="00C236E2">
      <w:pPr>
        <w:ind w:left="160"/>
        <w:rPr>
          <w:b/>
        </w:rPr>
      </w:pPr>
      <w:r>
        <w:rPr>
          <w:b/>
          <w:u w:val="thick"/>
        </w:rPr>
        <w:t>Undue influence</w:t>
      </w:r>
    </w:p>
    <w:p w14:paraId="37EA0E14" w14:textId="77777777" w:rsidR="000C56C4" w:rsidRDefault="000C56C4" w:rsidP="00C236E2">
      <w:pPr>
        <w:pStyle w:val="BodyText"/>
        <w:spacing w:before="11"/>
        <w:ind w:left="160"/>
        <w:rPr>
          <w:b/>
          <w:sz w:val="14"/>
        </w:rPr>
      </w:pPr>
    </w:p>
    <w:p w14:paraId="0C6F7406" w14:textId="79935A30" w:rsidR="000C1B76" w:rsidRPr="00DC3D7E" w:rsidRDefault="000C1B76" w:rsidP="00041B96">
      <w:pPr>
        <w:spacing w:before="94"/>
        <w:ind w:left="160"/>
      </w:pPr>
      <w:r w:rsidRPr="000C1B76">
        <w:t>Schedule 7 clause 2 of the Act in effect makes void any provision of a commercial arrangement that gives any person other than an authorised pharmacy business owner</w:t>
      </w:r>
      <w:r w:rsidR="00041B96">
        <w:t xml:space="preserve"> t</w:t>
      </w:r>
      <w:r w:rsidRPr="000C1B76">
        <w:t xml:space="preserve">he right to </w:t>
      </w:r>
      <w:r w:rsidR="0025754D">
        <w:t xml:space="preserve">exercise </w:t>
      </w:r>
      <w:r w:rsidR="0025754D" w:rsidRPr="00C236E2">
        <w:rPr>
          <w:b/>
        </w:rPr>
        <w:t>any</w:t>
      </w:r>
      <w:r w:rsidR="0025754D">
        <w:t xml:space="preserve"> </w:t>
      </w:r>
      <w:r w:rsidRPr="000C1B76">
        <w:t xml:space="preserve">control </w:t>
      </w:r>
      <w:r w:rsidR="0025754D">
        <w:t xml:space="preserve">over the conduct of a </w:t>
      </w:r>
      <w:r w:rsidRPr="000C1B76">
        <w:t>pharmacy business</w:t>
      </w:r>
      <w:r w:rsidR="0025754D">
        <w:t>.</w:t>
      </w:r>
      <w:r w:rsidRPr="000C1B76">
        <w:t xml:space="preserve"> </w:t>
      </w:r>
      <w:r w:rsidR="0025754D">
        <w:t>Th</w:t>
      </w:r>
      <w:r w:rsidRPr="000C1B76">
        <w:t xml:space="preserve">is </w:t>
      </w:r>
      <w:proofErr w:type="gramStart"/>
      <w:r w:rsidR="0025754D">
        <w:t>w</w:t>
      </w:r>
      <w:r w:rsidRPr="000C1B76">
        <w:t xml:space="preserve">ould </w:t>
      </w:r>
      <w:r w:rsidR="00F17A5A" w:rsidRPr="00DC3D7E">
        <w:t>may</w:t>
      </w:r>
      <w:proofErr w:type="gramEnd"/>
      <w:r w:rsidR="0025754D" w:rsidRPr="00DC3D7E">
        <w:t xml:space="preserve">, for </w:t>
      </w:r>
      <w:proofErr w:type="gramStart"/>
      <w:r w:rsidR="0025754D" w:rsidRPr="00DC3D7E">
        <w:t>example</w:t>
      </w:r>
      <w:r w:rsidRPr="00DC3D7E">
        <w:t>;</w:t>
      </w:r>
      <w:proofErr w:type="gramEnd"/>
    </w:p>
    <w:p w14:paraId="0BAACAF1" w14:textId="5B5EB92B" w:rsidR="000C1B76" w:rsidRPr="000C1B76" w:rsidRDefault="000C1B76" w:rsidP="00041B96">
      <w:pPr>
        <w:numPr>
          <w:ilvl w:val="1"/>
          <w:numId w:val="4"/>
        </w:numPr>
        <w:tabs>
          <w:tab w:val="left" w:pos="821"/>
        </w:tabs>
        <w:ind w:left="1418" w:right="209" w:hanging="709"/>
      </w:pPr>
      <w:r w:rsidRPr="000C1B76">
        <w:t xml:space="preserve">the right to access books of accounts or records kept in respect of that business, otherwise than for the purpose of determining </w:t>
      </w:r>
      <w:proofErr w:type="gramStart"/>
      <w:r w:rsidRPr="000C1B76">
        <w:t>whether or not</w:t>
      </w:r>
      <w:proofErr w:type="gramEnd"/>
      <w:r w:rsidRPr="000C1B76">
        <w:t xml:space="preserve"> the conditions of </w:t>
      </w:r>
      <w:r w:rsidR="0025754D">
        <w:t>a</w:t>
      </w:r>
      <w:r w:rsidRPr="000C1B76">
        <w:t xml:space="preserve"> relevant document are being complied with;</w:t>
      </w:r>
      <w:r w:rsidRPr="000C1B76">
        <w:rPr>
          <w:spacing w:val="5"/>
        </w:rPr>
        <w:t xml:space="preserve"> </w:t>
      </w:r>
      <w:r w:rsidRPr="000C1B76">
        <w:t>or</w:t>
      </w:r>
    </w:p>
    <w:p w14:paraId="32382684" w14:textId="77777777" w:rsidR="000C1B76" w:rsidRPr="000C1B76" w:rsidRDefault="000C1B76" w:rsidP="00041B96">
      <w:pPr>
        <w:tabs>
          <w:tab w:val="left" w:pos="567"/>
          <w:tab w:val="left" w:pos="1701"/>
        </w:tabs>
        <w:spacing w:before="8"/>
        <w:ind w:left="1418" w:hanging="709"/>
        <w:rPr>
          <w:sz w:val="23"/>
        </w:rPr>
      </w:pPr>
    </w:p>
    <w:p w14:paraId="2F2A5AD0" w14:textId="3DBD0349" w:rsidR="000C1B76" w:rsidRPr="000C1B76" w:rsidRDefault="000C1B76" w:rsidP="00041B96">
      <w:pPr>
        <w:numPr>
          <w:ilvl w:val="1"/>
          <w:numId w:val="4"/>
        </w:numPr>
        <w:tabs>
          <w:tab w:val="left" w:pos="567"/>
          <w:tab w:val="left" w:pos="821"/>
          <w:tab w:val="left" w:pos="1701"/>
        </w:tabs>
        <w:spacing w:before="1"/>
        <w:ind w:left="1418" w:right="213" w:hanging="709"/>
      </w:pPr>
      <w:r w:rsidRPr="000C1B76">
        <w:t>the right to receive any consideration that varies according to the profits or takings of the</w:t>
      </w:r>
      <w:r w:rsidRPr="000C1B76">
        <w:rPr>
          <w:spacing w:val="-1"/>
        </w:rPr>
        <w:t xml:space="preserve"> </w:t>
      </w:r>
      <w:r w:rsidRPr="000C1B76">
        <w:t>business.</w:t>
      </w:r>
    </w:p>
    <w:p w14:paraId="06EAB4A2" w14:textId="77777777" w:rsidR="000C1B76" w:rsidRPr="000C1B76" w:rsidRDefault="000C1B76" w:rsidP="00C236E2">
      <w:pPr>
        <w:tabs>
          <w:tab w:val="left" w:pos="567"/>
          <w:tab w:val="left" w:pos="1701"/>
        </w:tabs>
        <w:ind w:left="820" w:right="209" w:hanging="360"/>
      </w:pPr>
    </w:p>
    <w:p w14:paraId="752060DF" w14:textId="77777777" w:rsidR="000C1B76" w:rsidRPr="000C1B76" w:rsidRDefault="000C1B76" w:rsidP="00C236E2">
      <w:pPr>
        <w:tabs>
          <w:tab w:val="left" w:pos="567"/>
          <w:tab w:val="left" w:pos="821"/>
          <w:tab w:val="left" w:pos="1701"/>
        </w:tabs>
        <w:spacing w:before="1"/>
        <w:ind w:left="142" w:right="213"/>
      </w:pPr>
      <w:r w:rsidRPr="000C1B76">
        <w:t>Further, clause 11 of Schedule 7 of the Act makes it an offence for anyone to directly or indirectly attempt to coerce or otherwise cause a pharmacist to engage in conduct that contravenes the Act.</w:t>
      </w:r>
    </w:p>
    <w:p w14:paraId="329F1527" w14:textId="77777777" w:rsidR="000C56C4" w:rsidRDefault="000C56C4" w:rsidP="00C236E2">
      <w:pPr>
        <w:pStyle w:val="BodyText"/>
        <w:spacing w:before="3"/>
        <w:ind w:left="142"/>
        <w:rPr>
          <w:sz w:val="23"/>
        </w:rPr>
      </w:pPr>
    </w:p>
    <w:p w14:paraId="1BFB3C3B" w14:textId="58A0EC3A" w:rsidR="000C56C4" w:rsidRDefault="0025754D" w:rsidP="00DF4E22">
      <w:pPr>
        <w:pStyle w:val="BodyText"/>
        <w:ind w:left="120" w:right="210"/>
      </w:pPr>
      <w:r>
        <w:t>Accordingly</w:t>
      </w:r>
      <w:r w:rsidR="0079726B">
        <w:t>, pharmacists should be wary of and avoid the following types of clauses in intellectual property Licence Agreements:</w:t>
      </w:r>
    </w:p>
    <w:p w14:paraId="49E9D24C" w14:textId="00F25794" w:rsidR="000C56C4" w:rsidRDefault="0079726B" w:rsidP="00116C5A">
      <w:pPr>
        <w:pStyle w:val="ListParagraph"/>
        <w:numPr>
          <w:ilvl w:val="0"/>
          <w:numId w:val="1"/>
        </w:numPr>
        <w:tabs>
          <w:tab w:val="left" w:pos="1418"/>
        </w:tabs>
        <w:spacing w:line="252" w:lineRule="exact"/>
        <w:ind w:left="1418" w:hanging="709"/>
        <w:jc w:val="left"/>
      </w:pPr>
      <w:r>
        <w:t>clauses</w:t>
      </w:r>
      <w:r w:rsidRPr="00041B96">
        <w:rPr>
          <w:spacing w:val="-9"/>
        </w:rPr>
        <w:t xml:space="preserve"> </w:t>
      </w:r>
      <w:r>
        <w:t>which</w:t>
      </w:r>
      <w:r w:rsidRPr="00041B96">
        <w:rPr>
          <w:spacing w:val="-10"/>
        </w:rPr>
        <w:t xml:space="preserve"> </w:t>
      </w:r>
      <w:r>
        <w:t>provide</w:t>
      </w:r>
      <w:r w:rsidRPr="00041B96">
        <w:rPr>
          <w:spacing w:val="-9"/>
        </w:rPr>
        <w:t xml:space="preserve"> </w:t>
      </w:r>
      <w:r>
        <w:t>that</w:t>
      </w:r>
      <w:r w:rsidRPr="00041B96">
        <w:rPr>
          <w:spacing w:val="-11"/>
        </w:rPr>
        <w:t xml:space="preserve"> </w:t>
      </w:r>
      <w:r>
        <w:t>the</w:t>
      </w:r>
      <w:r w:rsidRPr="00041B96">
        <w:rPr>
          <w:spacing w:val="-15"/>
        </w:rPr>
        <w:t xml:space="preserve"> </w:t>
      </w:r>
      <w:r>
        <w:t>fee</w:t>
      </w:r>
      <w:r w:rsidRPr="00041B96">
        <w:rPr>
          <w:spacing w:val="-15"/>
        </w:rPr>
        <w:t xml:space="preserve"> </w:t>
      </w:r>
      <w:r>
        <w:t>for</w:t>
      </w:r>
      <w:r w:rsidRPr="00041B96">
        <w:rPr>
          <w:spacing w:val="-11"/>
        </w:rPr>
        <w:t xml:space="preserve"> </w:t>
      </w:r>
      <w:r>
        <w:t>use</w:t>
      </w:r>
      <w:r w:rsidRPr="00041B96">
        <w:rPr>
          <w:spacing w:val="-12"/>
        </w:rPr>
        <w:t xml:space="preserve"> </w:t>
      </w:r>
      <w:r>
        <w:t>of</w:t>
      </w:r>
      <w:r w:rsidRPr="00041B96">
        <w:rPr>
          <w:spacing w:val="-11"/>
        </w:rPr>
        <w:t xml:space="preserve"> </w:t>
      </w:r>
      <w:r>
        <w:t>the</w:t>
      </w:r>
      <w:r w:rsidRPr="00041B96">
        <w:rPr>
          <w:spacing w:val="-15"/>
        </w:rPr>
        <w:t xml:space="preserve"> </w:t>
      </w:r>
      <w:r>
        <w:t>Intellectual</w:t>
      </w:r>
      <w:r w:rsidRPr="00041B96">
        <w:rPr>
          <w:spacing w:val="-10"/>
        </w:rPr>
        <w:t xml:space="preserve"> </w:t>
      </w:r>
      <w:r>
        <w:t>Property</w:t>
      </w:r>
      <w:r w:rsidRPr="00041B96">
        <w:rPr>
          <w:spacing w:val="-11"/>
        </w:rPr>
        <w:t xml:space="preserve"> </w:t>
      </w:r>
      <w:r>
        <w:t>or</w:t>
      </w:r>
      <w:r w:rsidRPr="00041B96">
        <w:rPr>
          <w:spacing w:val="-11"/>
        </w:rPr>
        <w:t xml:space="preserve"> </w:t>
      </w:r>
      <w:r>
        <w:t>accompanying products,</w:t>
      </w:r>
      <w:r w:rsidRPr="00041B96">
        <w:rPr>
          <w:spacing w:val="-4"/>
        </w:rPr>
        <w:t xml:space="preserve"> </w:t>
      </w:r>
      <w:r>
        <w:t>will</w:t>
      </w:r>
      <w:r w:rsidRPr="00041B96">
        <w:rPr>
          <w:spacing w:val="-4"/>
        </w:rPr>
        <w:t xml:space="preserve"> </w:t>
      </w:r>
      <w:r>
        <w:t>increase</w:t>
      </w:r>
      <w:r w:rsidRPr="00041B96">
        <w:rPr>
          <w:spacing w:val="-4"/>
        </w:rPr>
        <w:t xml:space="preserve"> </w:t>
      </w:r>
      <w:r>
        <w:t>or</w:t>
      </w:r>
      <w:r w:rsidRPr="00041B96">
        <w:rPr>
          <w:spacing w:val="-4"/>
        </w:rPr>
        <w:t xml:space="preserve"> </w:t>
      </w:r>
      <w:r>
        <w:t>decrease,</w:t>
      </w:r>
      <w:r w:rsidRPr="00041B96">
        <w:rPr>
          <w:spacing w:val="-4"/>
        </w:rPr>
        <w:t xml:space="preserve"> </w:t>
      </w:r>
      <w:r>
        <w:t>if</w:t>
      </w:r>
      <w:r w:rsidRPr="00041B96">
        <w:rPr>
          <w:spacing w:val="-2"/>
        </w:rPr>
        <w:t xml:space="preserve"> </w:t>
      </w:r>
      <w:r>
        <w:t>the</w:t>
      </w:r>
      <w:r w:rsidRPr="00041B96">
        <w:rPr>
          <w:spacing w:val="-5"/>
        </w:rPr>
        <w:t xml:space="preserve"> </w:t>
      </w:r>
      <w:r>
        <w:t>profits</w:t>
      </w:r>
      <w:r w:rsidRPr="00041B96">
        <w:rPr>
          <w:spacing w:val="-5"/>
        </w:rPr>
        <w:t xml:space="preserve"> </w:t>
      </w:r>
      <w:r>
        <w:t>of</w:t>
      </w:r>
      <w:r w:rsidRPr="00041B96">
        <w:rPr>
          <w:spacing w:val="-4"/>
        </w:rPr>
        <w:t xml:space="preserve"> </w:t>
      </w:r>
      <w:r>
        <w:t>the</w:t>
      </w:r>
      <w:r w:rsidRPr="00041B96">
        <w:rPr>
          <w:spacing w:val="-5"/>
        </w:rPr>
        <w:t xml:space="preserve"> </w:t>
      </w:r>
      <w:r>
        <w:t>business</w:t>
      </w:r>
      <w:r w:rsidRPr="00041B96">
        <w:rPr>
          <w:spacing w:val="-3"/>
        </w:rPr>
        <w:t xml:space="preserve"> </w:t>
      </w:r>
      <w:r>
        <w:t>increase</w:t>
      </w:r>
      <w:r w:rsidRPr="00041B96">
        <w:rPr>
          <w:spacing w:val="-5"/>
        </w:rPr>
        <w:t xml:space="preserve"> </w:t>
      </w:r>
      <w:r>
        <w:t>or</w:t>
      </w:r>
      <w:r w:rsidRPr="00041B96">
        <w:rPr>
          <w:spacing w:val="-2"/>
        </w:rPr>
        <w:t xml:space="preserve"> </w:t>
      </w:r>
      <w:r>
        <w:t>decrease</w:t>
      </w:r>
      <w:r w:rsidR="00041B96">
        <w:t xml:space="preserve"> </w:t>
      </w:r>
      <w:r>
        <w:t>- either a result of the increased sale of products or otherwise (for example: a licence</w:t>
      </w:r>
      <w:r w:rsidR="00041B96">
        <w:t xml:space="preserve"> </w:t>
      </w:r>
      <w:r>
        <w:t>fee that is a base amount plus a % of profits from product sales, or simply a % of profits)</w:t>
      </w:r>
      <w:r w:rsidR="00A801EB">
        <w:t>.</w:t>
      </w:r>
    </w:p>
    <w:p w14:paraId="2A35947D" w14:textId="77777777" w:rsidR="000C56C4" w:rsidRDefault="000C56C4" w:rsidP="00041B96">
      <w:pPr>
        <w:pStyle w:val="BodyText"/>
        <w:tabs>
          <w:tab w:val="left" w:pos="1418"/>
        </w:tabs>
        <w:spacing w:before="3"/>
        <w:ind w:left="1418" w:hanging="709"/>
      </w:pPr>
    </w:p>
    <w:p w14:paraId="648E41F2" w14:textId="365B602E" w:rsidR="000C56C4" w:rsidRDefault="0079726B" w:rsidP="00041B96">
      <w:pPr>
        <w:pStyle w:val="ListParagraph"/>
        <w:numPr>
          <w:ilvl w:val="0"/>
          <w:numId w:val="1"/>
        </w:numPr>
        <w:tabs>
          <w:tab w:val="left" w:pos="1418"/>
        </w:tabs>
        <w:spacing w:line="237" w:lineRule="auto"/>
        <w:ind w:left="1418" w:right="212" w:hanging="709"/>
        <w:jc w:val="left"/>
      </w:pPr>
      <w:r>
        <w:t>clauses which provide the Licensor with unfettered (i.e. unlimited) discretion to make decisions with respect to the</w:t>
      </w:r>
      <w:r>
        <w:rPr>
          <w:spacing w:val="-4"/>
        </w:rPr>
        <w:t xml:space="preserve"> </w:t>
      </w:r>
      <w:r>
        <w:t>business</w:t>
      </w:r>
      <w:r w:rsidR="00A801EB">
        <w:t>.</w:t>
      </w:r>
    </w:p>
    <w:p w14:paraId="4084C624" w14:textId="77777777" w:rsidR="000C56C4" w:rsidRDefault="000C56C4" w:rsidP="00041B96">
      <w:pPr>
        <w:pStyle w:val="BodyText"/>
        <w:tabs>
          <w:tab w:val="left" w:pos="1418"/>
        </w:tabs>
        <w:spacing w:before="1"/>
        <w:ind w:left="1418" w:hanging="709"/>
        <w:rPr>
          <w:sz w:val="24"/>
        </w:rPr>
      </w:pPr>
    </w:p>
    <w:p w14:paraId="40B23C21" w14:textId="20FE3178" w:rsidR="000C56C4" w:rsidRDefault="0079726B" w:rsidP="00041B96">
      <w:pPr>
        <w:pStyle w:val="ListParagraph"/>
        <w:numPr>
          <w:ilvl w:val="0"/>
          <w:numId w:val="1"/>
        </w:numPr>
        <w:tabs>
          <w:tab w:val="left" w:pos="1418"/>
        </w:tabs>
        <w:spacing w:line="237" w:lineRule="auto"/>
        <w:ind w:left="1418" w:right="211" w:hanging="709"/>
        <w:jc w:val="left"/>
      </w:pPr>
      <w:r>
        <w:lastRenderedPageBreak/>
        <w:t>clauses which provide that amounts contributed by the pharmacy business to such things</w:t>
      </w:r>
      <w:r>
        <w:rPr>
          <w:spacing w:val="-6"/>
        </w:rPr>
        <w:t xml:space="preserve"> </w:t>
      </w:r>
      <w:r>
        <w:t>as</w:t>
      </w:r>
      <w:r>
        <w:rPr>
          <w:spacing w:val="-4"/>
        </w:rPr>
        <w:t xml:space="preserve"> </w:t>
      </w:r>
      <w:r>
        <w:t>Licensor</w:t>
      </w:r>
      <w:r>
        <w:rPr>
          <w:spacing w:val="-5"/>
        </w:rPr>
        <w:t xml:space="preserve"> </w:t>
      </w:r>
      <w:r>
        <w:t>marketing</w:t>
      </w:r>
      <w:r>
        <w:rPr>
          <w:spacing w:val="-4"/>
        </w:rPr>
        <w:t xml:space="preserve"> </w:t>
      </w:r>
      <w:r>
        <w:t>funds</w:t>
      </w:r>
      <w:r>
        <w:rPr>
          <w:spacing w:val="-4"/>
        </w:rPr>
        <w:t xml:space="preserve"> </w:t>
      </w:r>
      <w:r>
        <w:t>or</w:t>
      </w:r>
      <w:r>
        <w:rPr>
          <w:spacing w:val="-4"/>
        </w:rPr>
        <w:t xml:space="preserve"> </w:t>
      </w:r>
      <w:r>
        <w:t>training</w:t>
      </w:r>
      <w:r>
        <w:rPr>
          <w:spacing w:val="-3"/>
        </w:rPr>
        <w:t xml:space="preserve"> </w:t>
      </w:r>
      <w:r>
        <w:t>are</w:t>
      </w:r>
      <w:r>
        <w:rPr>
          <w:spacing w:val="-7"/>
        </w:rPr>
        <w:t xml:space="preserve"> </w:t>
      </w:r>
      <w:r>
        <w:t>calculated</w:t>
      </w:r>
      <w:r>
        <w:rPr>
          <w:spacing w:val="-4"/>
        </w:rPr>
        <w:t xml:space="preserve"> </w:t>
      </w:r>
      <w:r>
        <w:t>by</w:t>
      </w:r>
      <w:r>
        <w:rPr>
          <w:spacing w:val="-6"/>
        </w:rPr>
        <w:t xml:space="preserve"> </w:t>
      </w:r>
      <w:r>
        <w:t>reference</w:t>
      </w:r>
      <w:r>
        <w:rPr>
          <w:spacing w:val="-7"/>
        </w:rPr>
        <w:t xml:space="preserve"> </w:t>
      </w:r>
      <w:r>
        <w:t>to</w:t>
      </w:r>
      <w:r>
        <w:rPr>
          <w:spacing w:val="-4"/>
        </w:rPr>
        <w:t xml:space="preserve"> </w:t>
      </w:r>
      <w:r>
        <w:t>the</w:t>
      </w:r>
      <w:r>
        <w:rPr>
          <w:spacing w:val="-4"/>
        </w:rPr>
        <w:t xml:space="preserve"> </w:t>
      </w:r>
      <w:r>
        <w:t>profit of the business</w:t>
      </w:r>
      <w:r w:rsidR="00A801EB">
        <w:t>,</w:t>
      </w:r>
      <w:r>
        <w:rPr>
          <w:spacing w:val="2"/>
        </w:rPr>
        <w:t xml:space="preserve"> </w:t>
      </w:r>
      <w:r>
        <w:t>and</w:t>
      </w:r>
    </w:p>
    <w:p w14:paraId="10B98ACB" w14:textId="77777777" w:rsidR="000C56C4" w:rsidRDefault="000C56C4" w:rsidP="00041B96">
      <w:pPr>
        <w:pStyle w:val="BodyText"/>
        <w:tabs>
          <w:tab w:val="left" w:pos="1418"/>
        </w:tabs>
        <w:spacing w:before="2"/>
        <w:ind w:left="1418" w:hanging="709"/>
      </w:pPr>
    </w:p>
    <w:p w14:paraId="390E4831" w14:textId="77777777" w:rsidR="000C56C4" w:rsidRDefault="0079726B" w:rsidP="00041B96">
      <w:pPr>
        <w:pStyle w:val="ListParagraph"/>
        <w:numPr>
          <w:ilvl w:val="0"/>
          <w:numId w:val="1"/>
        </w:numPr>
        <w:tabs>
          <w:tab w:val="left" w:pos="1418"/>
        </w:tabs>
        <w:ind w:left="1418" w:hanging="709"/>
        <w:jc w:val="left"/>
      </w:pPr>
      <w:r>
        <w:t>clauses</w:t>
      </w:r>
      <w:r>
        <w:rPr>
          <w:spacing w:val="-12"/>
        </w:rPr>
        <w:t xml:space="preserve"> </w:t>
      </w:r>
      <w:r>
        <w:t>which</w:t>
      </w:r>
      <w:r>
        <w:rPr>
          <w:spacing w:val="-12"/>
        </w:rPr>
        <w:t xml:space="preserve"> </w:t>
      </w:r>
      <w:r>
        <w:t>provide</w:t>
      </w:r>
      <w:r>
        <w:rPr>
          <w:spacing w:val="-12"/>
        </w:rPr>
        <w:t xml:space="preserve"> </w:t>
      </w:r>
      <w:r>
        <w:t>a</w:t>
      </w:r>
      <w:r>
        <w:rPr>
          <w:spacing w:val="-9"/>
        </w:rPr>
        <w:t xml:space="preserve"> </w:t>
      </w:r>
      <w:r>
        <w:t>Licensor</w:t>
      </w:r>
      <w:r>
        <w:rPr>
          <w:spacing w:val="-11"/>
        </w:rPr>
        <w:t xml:space="preserve"> </w:t>
      </w:r>
      <w:r>
        <w:t>with</w:t>
      </w:r>
      <w:r>
        <w:rPr>
          <w:spacing w:val="-12"/>
        </w:rPr>
        <w:t xml:space="preserve"> </w:t>
      </w:r>
      <w:r>
        <w:t>a</w:t>
      </w:r>
      <w:r>
        <w:rPr>
          <w:spacing w:val="-12"/>
        </w:rPr>
        <w:t xml:space="preserve"> </w:t>
      </w:r>
      <w:r>
        <w:rPr>
          <w:b/>
        </w:rPr>
        <w:t>right</w:t>
      </w:r>
      <w:r>
        <w:rPr>
          <w:b/>
          <w:spacing w:val="-11"/>
        </w:rPr>
        <w:t xml:space="preserve"> </w:t>
      </w:r>
      <w:r>
        <w:t>of</w:t>
      </w:r>
      <w:r>
        <w:rPr>
          <w:spacing w:val="-11"/>
        </w:rPr>
        <w:t xml:space="preserve"> </w:t>
      </w:r>
      <w:r>
        <w:t>access</w:t>
      </w:r>
      <w:r>
        <w:rPr>
          <w:spacing w:val="-12"/>
        </w:rPr>
        <w:t xml:space="preserve"> </w:t>
      </w:r>
      <w:r>
        <w:t>to</w:t>
      </w:r>
      <w:r>
        <w:rPr>
          <w:spacing w:val="-12"/>
        </w:rPr>
        <w:t xml:space="preserve"> </w:t>
      </w:r>
      <w:r>
        <w:t>books</w:t>
      </w:r>
      <w:r>
        <w:rPr>
          <w:spacing w:val="-12"/>
        </w:rPr>
        <w:t xml:space="preserve"> </w:t>
      </w:r>
      <w:r>
        <w:t>of</w:t>
      </w:r>
      <w:r>
        <w:rPr>
          <w:spacing w:val="-8"/>
        </w:rPr>
        <w:t xml:space="preserve"> </w:t>
      </w:r>
      <w:r>
        <w:t>account</w:t>
      </w:r>
      <w:r>
        <w:rPr>
          <w:spacing w:val="-11"/>
        </w:rPr>
        <w:t xml:space="preserve"> </w:t>
      </w:r>
      <w:r>
        <w:t>or</w:t>
      </w:r>
      <w:r>
        <w:rPr>
          <w:spacing w:val="-13"/>
        </w:rPr>
        <w:t xml:space="preserve"> </w:t>
      </w:r>
      <w:r>
        <w:t>records kept</w:t>
      </w:r>
      <w:r>
        <w:rPr>
          <w:spacing w:val="-8"/>
        </w:rPr>
        <w:t xml:space="preserve"> </w:t>
      </w:r>
      <w:r>
        <w:t>in</w:t>
      </w:r>
      <w:r>
        <w:rPr>
          <w:spacing w:val="-10"/>
        </w:rPr>
        <w:t xml:space="preserve"> </w:t>
      </w:r>
      <w:r>
        <w:t>respect</w:t>
      </w:r>
      <w:r>
        <w:rPr>
          <w:spacing w:val="-8"/>
        </w:rPr>
        <w:t xml:space="preserve"> </w:t>
      </w:r>
      <w:r>
        <w:t>of</w:t>
      </w:r>
      <w:r>
        <w:rPr>
          <w:spacing w:val="-8"/>
        </w:rPr>
        <w:t xml:space="preserve"> </w:t>
      </w:r>
      <w:r>
        <w:t>the</w:t>
      </w:r>
      <w:r>
        <w:rPr>
          <w:spacing w:val="-10"/>
        </w:rPr>
        <w:t xml:space="preserve"> </w:t>
      </w:r>
      <w:r>
        <w:t>business</w:t>
      </w:r>
      <w:r>
        <w:rPr>
          <w:spacing w:val="-9"/>
        </w:rPr>
        <w:t xml:space="preserve"> </w:t>
      </w:r>
      <w:r>
        <w:t>(otherwise</w:t>
      </w:r>
      <w:r>
        <w:rPr>
          <w:spacing w:val="-10"/>
        </w:rPr>
        <w:t xml:space="preserve"> </w:t>
      </w:r>
      <w:r>
        <w:t>than</w:t>
      </w:r>
      <w:r>
        <w:rPr>
          <w:spacing w:val="-12"/>
        </w:rPr>
        <w:t xml:space="preserve"> </w:t>
      </w:r>
      <w:r>
        <w:t>for</w:t>
      </w:r>
      <w:r>
        <w:rPr>
          <w:spacing w:val="-11"/>
        </w:rPr>
        <w:t xml:space="preserve"> </w:t>
      </w:r>
      <w:r>
        <w:t>the</w:t>
      </w:r>
      <w:r>
        <w:rPr>
          <w:spacing w:val="-10"/>
        </w:rPr>
        <w:t xml:space="preserve"> </w:t>
      </w:r>
      <w:r>
        <w:t>purpose</w:t>
      </w:r>
      <w:r>
        <w:rPr>
          <w:spacing w:val="-10"/>
        </w:rPr>
        <w:t xml:space="preserve"> </w:t>
      </w:r>
      <w:r>
        <w:t>of</w:t>
      </w:r>
      <w:r>
        <w:rPr>
          <w:spacing w:val="-8"/>
        </w:rPr>
        <w:t xml:space="preserve"> </w:t>
      </w:r>
      <w:r>
        <w:t>determining</w:t>
      </w:r>
      <w:r>
        <w:rPr>
          <w:spacing w:val="-7"/>
        </w:rPr>
        <w:t xml:space="preserve"> </w:t>
      </w:r>
      <w:r>
        <w:t xml:space="preserve">whether the agreement is being complied with), as opposed to the licensee having the </w:t>
      </w:r>
      <w:r>
        <w:rPr>
          <w:b/>
        </w:rPr>
        <w:t xml:space="preserve">option </w:t>
      </w:r>
      <w:r>
        <w:t>to provide certain information to the Licensor so that the Intellectual Property and/or product can be</w:t>
      </w:r>
      <w:r>
        <w:rPr>
          <w:spacing w:val="-1"/>
        </w:rPr>
        <w:t xml:space="preserve"> </w:t>
      </w:r>
      <w:r>
        <w:t>provided.</w:t>
      </w:r>
    </w:p>
    <w:p w14:paraId="73F44D59" w14:textId="77777777" w:rsidR="000C56C4" w:rsidRDefault="000C56C4" w:rsidP="00C236E2">
      <w:pPr>
        <w:pStyle w:val="BodyText"/>
        <w:rPr>
          <w:sz w:val="24"/>
        </w:rPr>
      </w:pPr>
    </w:p>
    <w:p w14:paraId="7E484F75" w14:textId="77777777" w:rsidR="000C56C4" w:rsidRDefault="000C56C4" w:rsidP="00C236E2">
      <w:pPr>
        <w:pStyle w:val="BodyText"/>
        <w:rPr>
          <w:sz w:val="24"/>
        </w:rPr>
      </w:pPr>
    </w:p>
    <w:p w14:paraId="371D2CB9" w14:textId="77777777" w:rsidR="000C56C4" w:rsidRDefault="000C56C4" w:rsidP="00C236E2">
      <w:pPr>
        <w:pStyle w:val="BodyText"/>
        <w:rPr>
          <w:sz w:val="24"/>
        </w:rPr>
      </w:pPr>
    </w:p>
    <w:p w14:paraId="75497A5D" w14:textId="77777777" w:rsidR="000C56C4" w:rsidRDefault="000C56C4" w:rsidP="00C236E2">
      <w:pPr>
        <w:pStyle w:val="BodyText"/>
        <w:rPr>
          <w:sz w:val="24"/>
        </w:rPr>
      </w:pPr>
    </w:p>
    <w:p w14:paraId="1EE834BA" w14:textId="77777777" w:rsidR="000C56C4" w:rsidRDefault="000C56C4" w:rsidP="00C236E2">
      <w:pPr>
        <w:pStyle w:val="BodyText"/>
        <w:rPr>
          <w:sz w:val="24"/>
        </w:rPr>
      </w:pPr>
    </w:p>
    <w:sectPr w:rsidR="000C56C4">
      <w:footerReference w:type="default" r:id="rId8"/>
      <w:pgSz w:w="11920" w:h="16850"/>
      <w:pgMar w:top="1360" w:right="12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1BE1" w14:textId="77777777" w:rsidR="00263C97" w:rsidRDefault="00263C97">
      <w:r>
        <w:separator/>
      </w:r>
    </w:p>
  </w:endnote>
  <w:endnote w:type="continuationSeparator" w:id="0">
    <w:p w14:paraId="0D5CA344" w14:textId="77777777" w:rsidR="00263C97" w:rsidRDefault="0026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Ind w:w="279" w:type="dxa"/>
      <w:tblLook w:val="04A0" w:firstRow="1" w:lastRow="0" w:firstColumn="1" w:lastColumn="0" w:noHBand="0" w:noVBand="1"/>
    </w:tblPr>
    <w:tblGrid>
      <w:gridCol w:w="4342"/>
      <w:gridCol w:w="4621"/>
    </w:tblGrid>
    <w:tr w:rsidR="00C236E2" w:rsidRPr="00C236E2" w14:paraId="6696BC19" w14:textId="77777777" w:rsidTr="00A85348">
      <w:trPr>
        <w:trHeight w:val="248"/>
      </w:trPr>
      <w:tc>
        <w:tcPr>
          <w:tcW w:w="8963" w:type="dxa"/>
          <w:gridSpan w:val="2"/>
        </w:tcPr>
        <w:p w14:paraId="6C572797" w14:textId="77777777" w:rsidR="00C236E2" w:rsidRPr="00330C3C" w:rsidRDefault="00C236E2" w:rsidP="00C236E2">
          <w:pPr>
            <w:tabs>
              <w:tab w:val="center" w:pos="4513"/>
              <w:tab w:val="right" w:pos="9026"/>
            </w:tabs>
          </w:pPr>
          <w:r w:rsidRPr="00330C3C">
            <w:rPr>
              <w:sz w:val="20"/>
              <w:szCs w:val="20"/>
            </w:rPr>
            <w:t>Endorsed By: Northern Territory Pharmacy Premises Committee</w:t>
          </w:r>
        </w:p>
      </w:tc>
    </w:tr>
    <w:tr w:rsidR="00A37580" w:rsidRPr="00A37580" w14:paraId="28F6087D" w14:textId="77777777" w:rsidTr="00A85348">
      <w:trPr>
        <w:trHeight w:val="247"/>
      </w:trPr>
      <w:tc>
        <w:tcPr>
          <w:tcW w:w="4342" w:type="dxa"/>
        </w:tcPr>
        <w:p w14:paraId="3FBAE8D1" w14:textId="2863878F" w:rsidR="00C236E2" w:rsidRPr="00330C3C" w:rsidRDefault="00C236E2" w:rsidP="00A37580">
          <w:pPr>
            <w:tabs>
              <w:tab w:val="center" w:pos="4513"/>
              <w:tab w:val="right" w:pos="9026"/>
            </w:tabs>
            <w:rPr>
              <w:sz w:val="20"/>
              <w:szCs w:val="20"/>
            </w:rPr>
          </w:pPr>
          <w:r w:rsidRPr="00330C3C">
            <w:rPr>
              <w:sz w:val="20"/>
              <w:szCs w:val="20"/>
            </w:rPr>
            <w:t xml:space="preserve">Effective Date: </w:t>
          </w:r>
          <w:r w:rsidR="00330C3C">
            <w:rPr>
              <w:sz w:val="20"/>
              <w:szCs w:val="20"/>
            </w:rPr>
            <w:t>30 October 2025</w:t>
          </w:r>
        </w:p>
      </w:tc>
      <w:tc>
        <w:tcPr>
          <w:tcW w:w="4621" w:type="dxa"/>
        </w:tcPr>
        <w:p w14:paraId="00827CAF" w14:textId="136E80D9" w:rsidR="00C236E2" w:rsidRPr="00330C3C" w:rsidRDefault="00C236E2" w:rsidP="00A37580">
          <w:pPr>
            <w:tabs>
              <w:tab w:val="center" w:pos="4513"/>
              <w:tab w:val="right" w:pos="9026"/>
            </w:tabs>
            <w:rPr>
              <w:sz w:val="20"/>
              <w:szCs w:val="20"/>
            </w:rPr>
          </w:pPr>
          <w:r w:rsidRPr="00330C3C">
            <w:rPr>
              <w:sz w:val="20"/>
              <w:szCs w:val="20"/>
            </w:rPr>
            <w:t xml:space="preserve">Review Date: </w:t>
          </w:r>
          <w:r w:rsidR="00330C3C">
            <w:rPr>
              <w:sz w:val="20"/>
              <w:szCs w:val="20"/>
            </w:rPr>
            <w:t>1 November 2028</w:t>
          </w:r>
        </w:p>
      </w:tc>
    </w:tr>
  </w:tbl>
  <w:p w14:paraId="4210B589" w14:textId="54962C85" w:rsidR="000C56C4" w:rsidRPr="00A37580" w:rsidRDefault="00E87ED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575F95" wp14:editId="142B1A21">
              <wp:simplePos x="0" y="0"/>
              <wp:positionH relativeFrom="page">
                <wp:posOffset>3657600</wp:posOffset>
              </wp:positionH>
              <wp:positionV relativeFrom="page">
                <wp:posOffset>10267315</wp:posOffset>
              </wp:positionV>
              <wp:extent cx="121920" cy="165735"/>
              <wp:effectExtent l="0" t="0" r="1905" b="0"/>
              <wp:wrapNone/>
              <wp:docPr id="1182155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D323" w14:textId="689F8755" w:rsidR="000C56C4" w:rsidRDefault="0079726B">
                          <w:pPr>
                            <w:pStyle w:val="BodyText"/>
                            <w:spacing w:line="245" w:lineRule="exact"/>
                            <w:ind w:left="40"/>
                            <w:rPr>
                              <w:rFonts w:ascii="Calibri"/>
                            </w:rPr>
                          </w:pPr>
                          <w:r>
                            <w:fldChar w:fldCharType="begin"/>
                          </w:r>
                          <w:r>
                            <w:rPr>
                              <w:rFonts w:ascii="Calibri"/>
                            </w:rPr>
                            <w:instrText xml:space="preserve"> PAGE </w:instrText>
                          </w:r>
                          <w:r>
                            <w:fldChar w:fldCharType="separate"/>
                          </w:r>
                          <w:r w:rsidR="00A37580">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75F95" id="_x0000_t202" coordsize="21600,21600" o:spt="202" path="m,l,21600r21600,l21600,xe">
              <v:stroke joinstyle="miter"/>
              <v:path gradientshapeok="t" o:connecttype="rect"/>
            </v:shapetype>
            <v:shape id="Text Box 1" o:spid="_x0000_s1026" type="#_x0000_t202" style="position:absolute;margin-left:4in;margin-top:808.4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" filled="f" stroked="f">
              <v:textbox inset="0,0,0,0">
                <w:txbxContent>
                  <w:p w14:paraId="1BFAD323" w14:textId="689F8755" w:rsidR="000C56C4" w:rsidRDefault="0079726B">
                    <w:pPr>
                      <w:pStyle w:val="BodyText"/>
                      <w:spacing w:line="245" w:lineRule="exact"/>
                      <w:ind w:left="40"/>
                      <w:rPr>
                        <w:rFonts w:ascii="Calibri"/>
                      </w:rPr>
                    </w:pPr>
                    <w:r>
                      <w:fldChar w:fldCharType="begin"/>
                    </w:r>
                    <w:r>
                      <w:rPr>
                        <w:rFonts w:ascii="Calibri"/>
                      </w:rPr>
                      <w:instrText xml:space="preserve"> PAGE </w:instrText>
                    </w:r>
                    <w:r>
                      <w:fldChar w:fldCharType="separate"/>
                    </w:r>
                    <w:r w:rsidR="00A37580">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3B37" w14:textId="77777777" w:rsidR="00263C97" w:rsidRDefault="00263C97">
      <w:r>
        <w:separator/>
      </w:r>
    </w:p>
  </w:footnote>
  <w:footnote w:type="continuationSeparator" w:id="0">
    <w:p w14:paraId="7225191F" w14:textId="77777777" w:rsidR="00263C97" w:rsidRDefault="0026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5AF2"/>
    <w:multiLevelType w:val="hybridMultilevel"/>
    <w:tmpl w:val="9998CF38"/>
    <w:lvl w:ilvl="0" w:tplc="1DD01E2C">
      <w:numFmt w:val="bullet"/>
      <w:lvlText w:val=""/>
      <w:lvlJc w:val="left"/>
      <w:pPr>
        <w:ind w:left="840" w:hanging="361"/>
      </w:pPr>
      <w:rPr>
        <w:rFonts w:ascii="Symbol" w:eastAsia="Symbol" w:hAnsi="Symbol" w:cs="Symbol" w:hint="default"/>
        <w:w w:val="100"/>
        <w:sz w:val="22"/>
        <w:szCs w:val="22"/>
        <w:lang w:val="en-AU" w:eastAsia="en-AU" w:bidi="en-AU"/>
      </w:rPr>
    </w:lvl>
    <w:lvl w:ilvl="1" w:tplc="EECA68C8">
      <w:numFmt w:val="bullet"/>
      <w:lvlText w:val="•"/>
      <w:lvlJc w:val="left"/>
      <w:pPr>
        <w:ind w:left="980" w:hanging="361"/>
      </w:pPr>
      <w:rPr>
        <w:rFonts w:hint="default"/>
        <w:lang w:val="en-AU" w:eastAsia="en-AU" w:bidi="en-AU"/>
      </w:rPr>
    </w:lvl>
    <w:lvl w:ilvl="2" w:tplc="50ECFB00">
      <w:numFmt w:val="bullet"/>
      <w:lvlText w:val="•"/>
      <w:lvlJc w:val="left"/>
      <w:pPr>
        <w:ind w:left="1910" w:hanging="361"/>
      </w:pPr>
      <w:rPr>
        <w:rFonts w:hint="default"/>
        <w:lang w:val="en-AU" w:eastAsia="en-AU" w:bidi="en-AU"/>
      </w:rPr>
    </w:lvl>
    <w:lvl w:ilvl="3" w:tplc="F9EC9F36">
      <w:numFmt w:val="bullet"/>
      <w:lvlText w:val="•"/>
      <w:lvlJc w:val="left"/>
      <w:pPr>
        <w:ind w:left="2840" w:hanging="361"/>
      </w:pPr>
      <w:rPr>
        <w:rFonts w:hint="default"/>
        <w:lang w:val="en-AU" w:eastAsia="en-AU" w:bidi="en-AU"/>
      </w:rPr>
    </w:lvl>
    <w:lvl w:ilvl="4" w:tplc="8372481E">
      <w:numFmt w:val="bullet"/>
      <w:lvlText w:val="•"/>
      <w:lvlJc w:val="left"/>
      <w:pPr>
        <w:ind w:left="3770" w:hanging="361"/>
      </w:pPr>
      <w:rPr>
        <w:rFonts w:hint="default"/>
        <w:lang w:val="en-AU" w:eastAsia="en-AU" w:bidi="en-AU"/>
      </w:rPr>
    </w:lvl>
    <w:lvl w:ilvl="5" w:tplc="1D222254">
      <w:numFmt w:val="bullet"/>
      <w:lvlText w:val="•"/>
      <w:lvlJc w:val="left"/>
      <w:pPr>
        <w:ind w:left="4700" w:hanging="361"/>
      </w:pPr>
      <w:rPr>
        <w:rFonts w:hint="default"/>
        <w:lang w:val="en-AU" w:eastAsia="en-AU" w:bidi="en-AU"/>
      </w:rPr>
    </w:lvl>
    <w:lvl w:ilvl="6" w:tplc="5ED8E386">
      <w:numFmt w:val="bullet"/>
      <w:lvlText w:val="•"/>
      <w:lvlJc w:val="left"/>
      <w:pPr>
        <w:ind w:left="5630" w:hanging="361"/>
      </w:pPr>
      <w:rPr>
        <w:rFonts w:hint="default"/>
        <w:lang w:val="en-AU" w:eastAsia="en-AU" w:bidi="en-AU"/>
      </w:rPr>
    </w:lvl>
    <w:lvl w:ilvl="7" w:tplc="0AEAF68C">
      <w:numFmt w:val="bullet"/>
      <w:lvlText w:val="•"/>
      <w:lvlJc w:val="left"/>
      <w:pPr>
        <w:ind w:left="6560" w:hanging="361"/>
      </w:pPr>
      <w:rPr>
        <w:rFonts w:hint="default"/>
        <w:lang w:val="en-AU" w:eastAsia="en-AU" w:bidi="en-AU"/>
      </w:rPr>
    </w:lvl>
    <w:lvl w:ilvl="8" w:tplc="F0488D34">
      <w:numFmt w:val="bullet"/>
      <w:lvlText w:val="•"/>
      <w:lvlJc w:val="left"/>
      <w:pPr>
        <w:ind w:left="7490" w:hanging="361"/>
      </w:pPr>
      <w:rPr>
        <w:rFonts w:hint="default"/>
        <w:lang w:val="en-AU" w:eastAsia="en-AU" w:bidi="en-AU"/>
      </w:rPr>
    </w:lvl>
  </w:abstractNum>
  <w:abstractNum w:abstractNumId="1" w15:restartNumberingAfterBreak="0">
    <w:nsid w:val="406F1E13"/>
    <w:multiLevelType w:val="hybridMultilevel"/>
    <w:tmpl w:val="D3842900"/>
    <w:lvl w:ilvl="0" w:tplc="42CE6F94">
      <w:start w:val="1"/>
      <w:numFmt w:val="lowerLetter"/>
      <w:lvlText w:val="%1)"/>
      <w:lvlJc w:val="left"/>
      <w:pPr>
        <w:ind w:left="840" w:hanging="360"/>
      </w:pPr>
      <w:rPr>
        <w:rFonts w:ascii="Arial" w:eastAsia="Arial" w:hAnsi="Arial" w:cs="Arial" w:hint="default"/>
        <w:spacing w:val="-1"/>
        <w:w w:val="100"/>
        <w:sz w:val="22"/>
        <w:szCs w:val="22"/>
        <w:lang w:val="en-AU" w:eastAsia="en-AU" w:bidi="en-AU"/>
      </w:rPr>
    </w:lvl>
    <w:lvl w:ilvl="1" w:tplc="FE42B224">
      <w:numFmt w:val="bullet"/>
      <w:lvlText w:val="•"/>
      <w:lvlJc w:val="left"/>
      <w:pPr>
        <w:ind w:left="1691" w:hanging="360"/>
      </w:pPr>
      <w:rPr>
        <w:rFonts w:hint="default"/>
        <w:lang w:val="en-AU" w:eastAsia="en-AU" w:bidi="en-AU"/>
      </w:rPr>
    </w:lvl>
    <w:lvl w:ilvl="2" w:tplc="AE66EFEC">
      <w:numFmt w:val="bullet"/>
      <w:lvlText w:val="•"/>
      <w:lvlJc w:val="left"/>
      <w:pPr>
        <w:ind w:left="2542" w:hanging="360"/>
      </w:pPr>
      <w:rPr>
        <w:rFonts w:hint="default"/>
        <w:lang w:val="en-AU" w:eastAsia="en-AU" w:bidi="en-AU"/>
      </w:rPr>
    </w:lvl>
    <w:lvl w:ilvl="3" w:tplc="BA24744C">
      <w:numFmt w:val="bullet"/>
      <w:lvlText w:val="•"/>
      <w:lvlJc w:val="left"/>
      <w:pPr>
        <w:ind w:left="3393" w:hanging="360"/>
      </w:pPr>
      <w:rPr>
        <w:rFonts w:hint="default"/>
        <w:lang w:val="en-AU" w:eastAsia="en-AU" w:bidi="en-AU"/>
      </w:rPr>
    </w:lvl>
    <w:lvl w:ilvl="4" w:tplc="08867B3C">
      <w:numFmt w:val="bullet"/>
      <w:lvlText w:val="•"/>
      <w:lvlJc w:val="left"/>
      <w:pPr>
        <w:ind w:left="4244" w:hanging="360"/>
      </w:pPr>
      <w:rPr>
        <w:rFonts w:hint="default"/>
        <w:lang w:val="en-AU" w:eastAsia="en-AU" w:bidi="en-AU"/>
      </w:rPr>
    </w:lvl>
    <w:lvl w:ilvl="5" w:tplc="41027562">
      <w:numFmt w:val="bullet"/>
      <w:lvlText w:val="•"/>
      <w:lvlJc w:val="left"/>
      <w:pPr>
        <w:ind w:left="5095" w:hanging="360"/>
      </w:pPr>
      <w:rPr>
        <w:rFonts w:hint="default"/>
        <w:lang w:val="en-AU" w:eastAsia="en-AU" w:bidi="en-AU"/>
      </w:rPr>
    </w:lvl>
    <w:lvl w:ilvl="6" w:tplc="8B0A6830">
      <w:numFmt w:val="bullet"/>
      <w:lvlText w:val="•"/>
      <w:lvlJc w:val="left"/>
      <w:pPr>
        <w:ind w:left="5946" w:hanging="360"/>
      </w:pPr>
      <w:rPr>
        <w:rFonts w:hint="default"/>
        <w:lang w:val="en-AU" w:eastAsia="en-AU" w:bidi="en-AU"/>
      </w:rPr>
    </w:lvl>
    <w:lvl w:ilvl="7" w:tplc="673E34DC">
      <w:numFmt w:val="bullet"/>
      <w:lvlText w:val="•"/>
      <w:lvlJc w:val="left"/>
      <w:pPr>
        <w:ind w:left="6797" w:hanging="360"/>
      </w:pPr>
      <w:rPr>
        <w:rFonts w:hint="default"/>
        <w:lang w:val="en-AU" w:eastAsia="en-AU" w:bidi="en-AU"/>
      </w:rPr>
    </w:lvl>
    <w:lvl w:ilvl="8" w:tplc="24BA4D1C">
      <w:numFmt w:val="bullet"/>
      <w:lvlText w:val="•"/>
      <w:lvlJc w:val="left"/>
      <w:pPr>
        <w:ind w:left="7648" w:hanging="360"/>
      </w:pPr>
      <w:rPr>
        <w:rFonts w:hint="default"/>
        <w:lang w:val="en-AU" w:eastAsia="en-AU" w:bidi="en-AU"/>
      </w:rPr>
    </w:lvl>
  </w:abstractNum>
  <w:abstractNum w:abstractNumId="2" w15:restartNumberingAfterBreak="0">
    <w:nsid w:val="5FFF0AB5"/>
    <w:multiLevelType w:val="hybridMultilevel"/>
    <w:tmpl w:val="F1F4C186"/>
    <w:lvl w:ilvl="0" w:tplc="C8D2BF6E">
      <w:start w:val="1"/>
      <w:numFmt w:val="lowerLetter"/>
      <w:lvlText w:val="%1)"/>
      <w:lvlJc w:val="left"/>
      <w:pPr>
        <w:ind w:left="820" w:hanging="360"/>
      </w:pPr>
      <w:rPr>
        <w:rFonts w:ascii="Arial" w:eastAsia="Arial" w:hAnsi="Arial" w:cs="Arial" w:hint="default"/>
        <w:spacing w:val="-1"/>
        <w:w w:val="100"/>
        <w:sz w:val="22"/>
        <w:szCs w:val="22"/>
        <w:lang w:val="en-AU" w:eastAsia="en-AU" w:bidi="en-AU"/>
      </w:rPr>
    </w:lvl>
    <w:lvl w:ilvl="1" w:tplc="6E367B5C">
      <w:numFmt w:val="bullet"/>
      <w:lvlText w:val="•"/>
      <w:lvlJc w:val="left"/>
      <w:pPr>
        <w:ind w:left="1671" w:hanging="360"/>
      </w:pPr>
      <w:rPr>
        <w:rFonts w:hint="default"/>
        <w:lang w:val="en-AU" w:eastAsia="en-AU" w:bidi="en-AU"/>
      </w:rPr>
    </w:lvl>
    <w:lvl w:ilvl="2" w:tplc="109C9FBE">
      <w:numFmt w:val="bullet"/>
      <w:lvlText w:val="•"/>
      <w:lvlJc w:val="left"/>
      <w:pPr>
        <w:ind w:left="2522" w:hanging="360"/>
      </w:pPr>
      <w:rPr>
        <w:rFonts w:hint="default"/>
        <w:lang w:val="en-AU" w:eastAsia="en-AU" w:bidi="en-AU"/>
      </w:rPr>
    </w:lvl>
    <w:lvl w:ilvl="3" w:tplc="E220A2C6">
      <w:numFmt w:val="bullet"/>
      <w:lvlText w:val="•"/>
      <w:lvlJc w:val="left"/>
      <w:pPr>
        <w:ind w:left="3373" w:hanging="360"/>
      </w:pPr>
      <w:rPr>
        <w:rFonts w:hint="default"/>
        <w:lang w:val="en-AU" w:eastAsia="en-AU" w:bidi="en-AU"/>
      </w:rPr>
    </w:lvl>
    <w:lvl w:ilvl="4" w:tplc="2BBAFB40">
      <w:numFmt w:val="bullet"/>
      <w:lvlText w:val="•"/>
      <w:lvlJc w:val="left"/>
      <w:pPr>
        <w:ind w:left="4224" w:hanging="360"/>
      </w:pPr>
      <w:rPr>
        <w:rFonts w:hint="default"/>
        <w:lang w:val="en-AU" w:eastAsia="en-AU" w:bidi="en-AU"/>
      </w:rPr>
    </w:lvl>
    <w:lvl w:ilvl="5" w:tplc="937C6790">
      <w:numFmt w:val="bullet"/>
      <w:lvlText w:val="•"/>
      <w:lvlJc w:val="left"/>
      <w:pPr>
        <w:ind w:left="5075" w:hanging="360"/>
      </w:pPr>
      <w:rPr>
        <w:rFonts w:hint="default"/>
        <w:lang w:val="en-AU" w:eastAsia="en-AU" w:bidi="en-AU"/>
      </w:rPr>
    </w:lvl>
    <w:lvl w:ilvl="6" w:tplc="97C4E4EE">
      <w:numFmt w:val="bullet"/>
      <w:lvlText w:val="•"/>
      <w:lvlJc w:val="left"/>
      <w:pPr>
        <w:ind w:left="5926" w:hanging="360"/>
      </w:pPr>
      <w:rPr>
        <w:rFonts w:hint="default"/>
        <w:lang w:val="en-AU" w:eastAsia="en-AU" w:bidi="en-AU"/>
      </w:rPr>
    </w:lvl>
    <w:lvl w:ilvl="7" w:tplc="3F5CFC06">
      <w:numFmt w:val="bullet"/>
      <w:lvlText w:val="•"/>
      <w:lvlJc w:val="left"/>
      <w:pPr>
        <w:ind w:left="6777" w:hanging="360"/>
      </w:pPr>
      <w:rPr>
        <w:rFonts w:hint="default"/>
        <w:lang w:val="en-AU" w:eastAsia="en-AU" w:bidi="en-AU"/>
      </w:rPr>
    </w:lvl>
    <w:lvl w:ilvl="8" w:tplc="FF1EA588">
      <w:numFmt w:val="bullet"/>
      <w:lvlText w:val="•"/>
      <w:lvlJc w:val="left"/>
      <w:pPr>
        <w:ind w:left="7628" w:hanging="360"/>
      </w:pPr>
      <w:rPr>
        <w:rFonts w:hint="default"/>
        <w:lang w:val="en-AU" w:eastAsia="en-AU" w:bidi="en-AU"/>
      </w:rPr>
    </w:lvl>
  </w:abstractNum>
  <w:abstractNum w:abstractNumId="3" w15:restartNumberingAfterBreak="0">
    <w:nsid w:val="77607D7A"/>
    <w:multiLevelType w:val="multilevel"/>
    <w:tmpl w:val="EF960D54"/>
    <w:lvl w:ilvl="0">
      <w:start w:val="1"/>
      <w:numFmt w:val="decimal"/>
      <w:lvlText w:val="%1)"/>
      <w:lvlJc w:val="left"/>
      <w:pPr>
        <w:ind w:left="360" w:hanging="360"/>
      </w:pPr>
    </w:lvl>
    <w:lvl w:ilvl="1">
      <w:start w:val="1"/>
      <w:numFmt w:val="lowerLetter"/>
      <w:lvlText w:val="(%2)"/>
      <w:lvlJc w:val="left"/>
      <w:pPr>
        <w:ind w:left="720" w:hanging="360"/>
      </w:pPr>
      <w:rPr>
        <w:rFonts w:ascii="Arial" w:eastAsia="Arial" w:hAnsi="Arial" w:cs="Arial" w:hint="default"/>
        <w:spacing w:val="-2"/>
        <w:w w:val="99"/>
        <w:sz w:val="22"/>
        <w:szCs w:val="22"/>
        <w:lang w:val="en-AU" w:eastAsia="en-AU" w:bidi="en-A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3607992">
    <w:abstractNumId w:val="0"/>
  </w:num>
  <w:num w:numId="2" w16cid:durableId="1629429172">
    <w:abstractNumId w:val="1"/>
  </w:num>
  <w:num w:numId="3" w16cid:durableId="1435785697">
    <w:abstractNumId w:val="2"/>
  </w:num>
  <w:num w:numId="4" w16cid:durableId="1142428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C4"/>
    <w:rsid w:val="00041B96"/>
    <w:rsid w:val="00070EDD"/>
    <w:rsid w:val="000C1B76"/>
    <w:rsid w:val="000C56C4"/>
    <w:rsid w:val="0025754D"/>
    <w:rsid w:val="00263C97"/>
    <w:rsid w:val="002730F1"/>
    <w:rsid w:val="00330C3C"/>
    <w:rsid w:val="00340CF0"/>
    <w:rsid w:val="00395A00"/>
    <w:rsid w:val="003A46CB"/>
    <w:rsid w:val="004434BB"/>
    <w:rsid w:val="005D12C0"/>
    <w:rsid w:val="005E5E0A"/>
    <w:rsid w:val="005F658C"/>
    <w:rsid w:val="006918C2"/>
    <w:rsid w:val="00784C84"/>
    <w:rsid w:val="0079726B"/>
    <w:rsid w:val="007D2BD9"/>
    <w:rsid w:val="0086232E"/>
    <w:rsid w:val="008E3E42"/>
    <w:rsid w:val="009957E3"/>
    <w:rsid w:val="00A00CB5"/>
    <w:rsid w:val="00A37580"/>
    <w:rsid w:val="00A67C47"/>
    <w:rsid w:val="00A801EB"/>
    <w:rsid w:val="00AC2FAA"/>
    <w:rsid w:val="00BA33B7"/>
    <w:rsid w:val="00C236E2"/>
    <w:rsid w:val="00C71F58"/>
    <w:rsid w:val="00CD5644"/>
    <w:rsid w:val="00DB5BB4"/>
    <w:rsid w:val="00DC3D7E"/>
    <w:rsid w:val="00DF4E22"/>
    <w:rsid w:val="00E7459F"/>
    <w:rsid w:val="00E87ED4"/>
    <w:rsid w:val="00EB4062"/>
    <w:rsid w:val="00F17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8D23"/>
  <w15:docId w15:val="{A69F573B-300C-48DB-86EF-53C01B47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right="209"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0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B5"/>
    <w:rPr>
      <w:rFonts w:ascii="Segoe UI" w:eastAsia="Arial" w:hAnsi="Segoe UI" w:cs="Segoe UI"/>
      <w:sz w:val="18"/>
      <w:szCs w:val="18"/>
      <w:lang w:val="en-AU" w:eastAsia="en-AU" w:bidi="en-AU"/>
    </w:rPr>
  </w:style>
  <w:style w:type="paragraph" w:customStyle="1" w:styleId="Default">
    <w:name w:val="Default"/>
    <w:rsid w:val="00C236E2"/>
    <w:pPr>
      <w:widowControl/>
      <w:adjustRightInd w:val="0"/>
    </w:pPr>
    <w:rPr>
      <w:rFonts w:ascii="Calibri" w:hAnsi="Calibri" w:cs="Calibri"/>
      <w:color w:val="000000"/>
      <w:sz w:val="24"/>
      <w:szCs w:val="24"/>
      <w:lang w:val="en-AU"/>
    </w:rPr>
  </w:style>
  <w:style w:type="table" w:styleId="TableGrid">
    <w:name w:val="Table Grid"/>
    <w:basedOn w:val="TableNormal"/>
    <w:uiPriority w:val="59"/>
    <w:rsid w:val="00C236E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6E2"/>
    <w:pPr>
      <w:tabs>
        <w:tab w:val="center" w:pos="4513"/>
        <w:tab w:val="right" w:pos="9026"/>
      </w:tabs>
    </w:pPr>
  </w:style>
  <w:style w:type="character" w:customStyle="1" w:styleId="HeaderChar">
    <w:name w:val="Header Char"/>
    <w:basedOn w:val="DefaultParagraphFont"/>
    <w:link w:val="Header"/>
    <w:uiPriority w:val="99"/>
    <w:rsid w:val="00C236E2"/>
    <w:rPr>
      <w:rFonts w:ascii="Arial" w:eastAsia="Arial" w:hAnsi="Arial" w:cs="Arial"/>
      <w:lang w:val="en-AU" w:eastAsia="en-AU" w:bidi="en-AU"/>
    </w:rPr>
  </w:style>
  <w:style w:type="paragraph" w:styleId="Footer">
    <w:name w:val="footer"/>
    <w:basedOn w:val="Normal"/>
    <w:link w:val="FooterChar"/>
    <w:uiPriority w:val="99"/>
    <w:unhideWhenUsed/>
    <w:rsid w:val="00C236E2"/>
    <w:pPr>
      <w:tabs>
        <w:tab w:val="center" w:pos="4513"/>
        <w:tab w:val="right" w:pos="9026"/>
      </w:tabs>
    </w:pPr>
  </w:style>
  <w:style w:type="character" w:customStyle="1" w:styleId="FooterChar">
    <w:name w:val="Footer Char"/>
    <w:basedOn w:val="DefaultParagraphFont"/>
    <w:link w:val="Footer"/>
    <w:uiPriority w:val="99"/>
    <w:rsid w:val="00C236E2"/>
    <w:rPr>
      <w:rFonts w:ascii="Arial" w:eastAsia="Arial" w:hAnsi="Arial" w:cs="Arial"/>
      <w:lang w:val="en-AU" w:eastAsia="en-AU" w:bidi="en-AU"/>
    </w:rPr>
  </w:style>
  <w:style w:type="table" w:customStyle="1" w:styleId="TableGrid1">
    <w:name w:val="Table Grid1"/>
    <w:basedOn w:val="TableNormal"/>
    <w:next w:val="TableGrid"/>
    <w:uiPriority w:val="59"/>
    <w:rsid w:val="00C236E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15FF-EC78-4EF9-A4EB-D25EF113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PG8 - NT Guidance - Intellectual Property Licence Agreements</dc:title>
  <dc:creator>Northern Territory Government</dc:creator>
  <cp:lastModifiedBy>Peter Kern</cp:lastModifiedBy>
  <cp:revision>5</cp:revision>
  <dcterms:created xsi:type="dcterms:W3CDTF">2025-08-06T00:45:00Z</dcterms:created>
  <dcterms:modified xsi:type="dcterms:W3CDTF">2025-12-02T21:59:00Z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2019-04-18T00:00:00Z</vt:filetime>
  </property>
</Properties>
</file>