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430C5B" w14:paraId="72A8FDD8" w14:textId="77777777" w:rsidTr="00A85348">
        <w:tc>
          <w:tcPr>
            <w:tcW w:w="9242" w:type="dxa"/>
          </w:tcPr>
          <w:p w14:paraId="4A73946F" w14:textId="77777777" w:rsidR="00430C5B" w:rsidRPr="00421DA0" w:rsidRDefault="00430C5B" w:rsidP="00A85348">
            <w:pPr>
              <w:pStyle w:val="Default"/>
              <w:jc w:val="center"/>
              <w:rPr>
                <w:b/>
                <w:bCs/>
                <w:color w:val="E36C0A" w:themeColor="accent6" w:themeShade="BF"/>
                <w:sz w:val="30"/>
                <w:szCs w:val="30"/>
              </w:rPr>
            </w:pPr>
            <w:r w:rsidRPr="00421DA0">
              <w:rPr>
                <w:b/>
                <w:bCs/>
                <w:color w:val="E36C0A" w:themeColor="accent6" w:themeShade="BF"/>
                <w:sz w:val="30"/>
                <w:szCs w:val="30"/>
              </w:rPr>
              <w:t>PHARMACY PREMISES COMMITTEE OF THE NORTHERN TERRITORY</w:t>
            </w:r>
          </w:p>
          <w:p w14:paraId="4F123692" w14:textId="77777777" w:rsidR="00430C5B" w:rsidRPr="00421DA0" w:rsidRDefault="00430C5B" w:rsidP="00A85348">
            <w:pPr>
              <w:pStyle w:val="Default"/>
              <w:jc w:val="center"/>
              <w:rPr>
                <w:b/>
                <w:bCs/>
                <w:color w:val="E36C0A" w:themeColor="accent6" w:themeShade="BF"/>
                <w:sz w:val="14"/>
                <w:szCs w:val="14"/>
              </w:rPr>
            </w:pPr>
          </w:p>
          <w:p w14:paraId="08C46D7D" w14:textId="22A37203" w:rsidR="00430C5B" w:rsidRDefault="00430C5B" w:rsidP="00430C5B">
            <w:pPr>
              <w:pStyle w:val="Default"/>
              <w:jc w:val="center"/>
            </w:pPr>
            <w:r w:rsidRPr="00421DA0">
              <w:rPr>
                <w:b/>
                <w:bCs/>
                <w:color w:val="E36C0A" w:themeColor="accent6" w:themeShade="BF"/>
                <w:sz w:val="30"/>
                <w:szCs w:val="30"/>
              </w:rPr>
              <w:t>PG</w:t>
            </w:r>
            <w:r>
              <w:rPr>
                <w:b/>
                <w:bCs/>
                <w:color w:val="E36C0A" w:themeColor="accent6" w:themeShade="BF"/>
                <w:sz w:val="30"/>
                <w:szCs w:val="30"/>
              </w:rPr>
              <w:t>4:</w:t>
            </w:r>
            <w:r w:rsidRPr="00421DA0">
              <w:rPr>
                <w:b/>
                <w:bCs/>
                <w:color w:val="E36C0A" w:themeColor="accent6" w:themeShade="BF"/>
                <w:sz w:val="30"/>
                <w:szCs w:val="30"/>
              </w:rPr>
              <w:t xml:space="preserve"> </w:t>
            </w:r>
            <w:r>
              <w:rPr>
                <w:b/>
                <w:bCs/>
                <w:color w:val="E36C0A" w:themeColor="accent6" w:themeShade="BF"/>
                <w:sz w:val="30"/>
                <w:szCs w:val="30"/>
              </w:rPr>
              <w:t>NT GUIDANCE – LOAN AGREEMENTS &amp; SECURITY AGREEMENTS</w:t>
            </w:r>
          </w:p>
        </w:tc>
      </w:tr>
    </w:tbl>
    <w:p w14:paraId="4545ECE8" w14:textId="77777777" w:rsidR="00BE46FA" w:rsidRDefault="00227C6F">
      <w:pPr>
        <w:pStyle w:val="BodyText"/>
        <w:spacing w:before="252"/>
        <w:ind w:left="120" w:right="439"/>
      </w:pPr>
      <w:r>
        <w:t>It is very common for persons purchasing or operating a pharmacy business to finance the purchase or operation though a loan.</w:t>
      </w:r>
    </w:p>
    <w:p w14:paraId="269E5002" w14:textId="77777777" w:rsidR="00BE46FA" w:rsidRDefault="00BE46FA">
      <w:pPr>
        <w:pStyle w:val="BodyText"/>
        <w:spacing w:before="2"/>
      </w:pPr>
    </w:p>
    <w:p w14:paraId="22701A65" w14:textId="77777777" w:rsidR="00BE46FA" w:rsidRDefault="00227C6F">
      <w:pPr>
        <w:pStyle w:val="BodyText"/>
        <w:ind w:left="120"/>
      </w:pPr>
      <w:r>
        <w:t>A loan can be given on a secured or unsecured basis.</w:t>
      </w:r>
    </w:p>
    <w:p w14:paraId="41B15AF9" w14:textId="77777777" w:rsidR="00BE46FA" w:rsidRDefault="00BE46FA">
      <w:pPr>
        <w:pStyle w:val="BodyText"/>
        <w:spacing w:before="1"/>
        <w:rPr>
          <w:sz w:val="23"/>
        </w:rPr>
      </w:pPr>
    </w:p>
    <w:p w14:paraId="4BFBEAD5" w14:textId="77777777" w:rsidR="00BE46FA" w:rsidRDefault="00227C6F">
      <w:pPr>
        <w:pStyle w:val="BodyText"/>
        <w:ind w:left="120" w:right="439"/>
      </w:pPr>
      <w:r>
        <w:t>If you are borrowing money on a secured basis, you will usually need to enter into a separate security agreement (in addition to the loan</w:t>
      </w:r>
      <w:r>
        <w:rPr>
          <w:spacing w:val="-12"/>
        </w:rPr>
        <w:t xml:space="preserve"> </w:t>
      </w:r>
      <w:r>
        <w:t>agreement).</w:t>
      </w:r>
    </w:p>
    <w:p w14:paraId="1A6CC832" w14:textId="77777777" w:rsidR="00BE46FA" w:rsidRDefault="00BE46FA">
      <w:pPr>
        <w:pStyle w:val="BodyText"/>
        <w:rPr>
          <w:sz w:val="23"/>
        </w:rPr>
      </w:pPr>
    </w:p>
    <w:p w14:paraId="5A48DF55" w14:textId="77777777" w:rsidR="00BE46FA" w:rsidRDefault="00227C6F">
      <w:pPr>
        <w:pStyle w:val="BodyText"/>
        <w:ind w:left="160"/>
      </w:pPr>
      <w:r>
        <w:t>Usually:</w:t>
      </w:r>
    </w:p>
    <w:p w14:paraId="53F8F254" w14:textId="77777777" w:rsidR="00BE46FA" w:rsidRDefault="00227C6F" w:rsidP="004F5526">
      <w:pPr>
        <w:pStyle w:val="ListParagraph"/>
        <w:numPr>
          <w:ilvl w:val="0"/>
          <w:numId w:val="3"/>
        </w:numPr>
        <w:tabs>
          <w:tab w:val="left" w:pos="882"/>
        </w:tabs>
        <w:ind w:right="212"/>
        <w:jc w:val="left"/>
      </w:pPr>
      <w:r>
        <w:t>the loan agreement will set out the terms on which money is lent by the lender and repaid by the borrower (including the amount, the interest rate and repayment terms); and</w:t>
      </w:r>
    </w:p>
    <w:p w14:paraId="10756B37" w14:textId="77777777" w:rsidR="00BE46FA" w:rsidRDefault="00BE46FA" w:rsidP="004F5526">
      <w:pPr>
        <w:pStyle w:val="BodyText"/>
        <w:spacing w:before="10"/>
        <w:rPr>
          <w:sz w:val="21"/>
        </w:rPr>
      </w:pPr>
    </w:p>
    <w:p w14:paraId="039EE9A3" w14:textId="77777777" w:rsidR="00BE46FA" w:rsidRDefault="00227C6F" w:rsidP="004F5526">
      <w:pPr>
        <w:pStyle w:val="ListParagraph"/>
        <w:numPr>
          <w:ilvl w:val="0"/>
          <w:numId w:val="3"/>
        </w:numPr>
        <w:tabs>
          <w:tab w:val="left" w:pos="882"/>
        </w:tabs>
        <w:ind w:right="207" w:hanging="360"/>
        <w:jc w:val="left"/>
      </w:pPr>
      <w:r>
        <w:t>the security agreement will give the lender an interest in a particular asset or property, that is pledged by the borrower as security for the money lent to the borrower. In the event that the borrower defaults, the security can be seized and sold by the</w:t>
      </w:r>
      <w:r>
        <w:rPr>
          <w:spacing w:val="-3"/>
        </w:rPr>
        <w:t xml:space="preserve"> </w:t>
      </w:r>
      <w:r>
        <w:t>lender.</w:t>
      </w:r>
    </w:p>
    <w:p w14:paraId="0275BEBA" w14:textId="77777777" w:rsidR="00BE46FA" w:rsidRDefault="00BE46FA">
      <w:pPr>
        <w:pStyle w:val="BodyText"/>
        <w:spacing w:before="10"/>
      </w:pPr>
    </w:p>
    <w:p w14:paraId="5C11AE23" w14:textId="7F0F4105" w:rsidR="00E23160" w:rsidRPr="00E23160" w:rsidRDefault="00227C6F" w:rsidP="00E23160">
      <w:pPr>
        <w:pStyle w:val="BodyText"/>
        <w:spacing w:before="94"/>
        <w:ind w:left="160"/>
      </w:pPr>
      <w:r>
        <w:t xml:space="preserve">The </w:t>
      </w:r>
      <w:r w:rsidR="00E23160">
        <w:rPr>
          <w:i/>
        </w:rPr>
        <w:t>Health Practitioners Act</w:t>
      </w:r>
      <w:r w:rsidR="00A92522">
        <w:rPr>
          <w:i/>
        </w:rPr>
        <w:t xml:space="preserve"> </w:t>
      </w:r>
      <w:r w:rsidR="00A92522" w:rsidRPr="009F2B42">
        <w:rPr>
          <w:i/>
        </w:rPr>
        <w:t>2004</w:t>
      </w:r>
      <w:r w:rsidRPr="009F2B42">
        <w:rPr>
          <w:i/>
        </w:rPr>
        <w:t xml:space="preserve"> </w:t>
      </w:r>
      <w:r w:rsidRPr="009F2B42">
        <w:t>(</w:t>
      </w:r>
      <w:r w:rsidRPr="009F2B42">
        <w:rPr>
          <w:b/>
        </w:rPr>
        <w:t>the</w:t>
      </w:r>
      <w:r>
        <w:rPr>
          <w:b/>
        </w:rPr>
        <w:t xml:space="preserve"> Act</w:t>
      </w:r>
      <w:r>
        <w:t xml:space="preserve">) places restrictions on who can own a pharmacy business. In particular, </w:t>
      </w:r>
    </w:p>
    <w:p w14:paraId="5A4D6FF4" w14:textId="1A2A658A" w:rsidR="00E23160" w:rsidRPr="00E23160" w:rsidRDefault="00E23160" w:rsidP="004F5526">
      <w:pPr>
        <w:pStyle w:val="BodyText"/>
        <w:spacing w:before="94"/>
        <w:ind w:left="160"/>
      </w:pPr>
      <w:r w:rsidRPr="00E23160">
        <w:t>Schedule 7 clause 2 (1)(a) of the Act provides that</w:t>
      </w:r>
      <w:r w:rsidR="004F5526">
        <w:t xml:space="preserve"> a</w:t>
      </w:r>
      <w:r w:rsidRPr="00E23160">
        <w:t xml:space="preserve"> person must not own a pharmacy business unless the person</w:t>
      </w:r>
      <w:r w:rsidRPr="00E23160">
        <w:rPr>
          <w:spacing w:val="-1"/>
        </w:rPr>
        <w:t xml:space="preserve"> </w:t>
      </w:r>
      <w:r w:rsidRPr="00E23160">
        <w:t>is:</w:t>
      </w:r>
    </w:p>
    <w:p w14:paraId="35A79CAF" w14:textId="30AAEFC6" w:rsidR="00E23160" w:rsidRDefault="00E23160" w:rsidP="00E23160">
      <w:pPr>
        <w:numPr>
          <w:ilvl w:val="1"/>
          <w:numId w:val="4"/>
        </w:numPr>
        <w:tabs>
          <w:tab w:val="left" w:pos="1601"/>
        </w:tabs>
      </w:pPr>
      <w:r w:rsidRPr="00E23160">
        <w:t>a registered pharmacist;</w:t>
      </w:r>
      <w:r w:rsidRPr="00E23160">
        <w:rPr>
          <w:spacing w:val="-2"/>
        </w:rPr>
        <w:t xml:space="preserve"> </w:t>
      </w:r>
      <w:r w:rsidRPr="00E23160">
        <w:t>or</w:t>
      </w:r>
    </w:p>
    <w:p w14:paraId="28BD5CBE" w14:textId="77777777" w:rsidR="00430C5B" w:rsidRPr="009F2B42" w:rsidRDefault="00430C5B" w:rsidP="00430C5B">
      <w:pPr>
        <w:tabs>
          <w:tab w:val="left" w:pos="1601"/>
        </w:tabs>
        <w:rPr>
          <w:sz w:val="16"/>
          <w:szCs w:val="16"/>
        </w:rPr>
      </w:pPr>
    </w:p>
    <w:p w14:paraId="04CCBAE1" w14:textId="1DF56359" w:rsidR="00E23160" w:rsidRDefault="00E23160" w:rsidP="00971DEB">
      <w:pPr>
        <w:numPr>
          <w:ilvl w:val="1"/>
          <w:numId w:val="4"/>
        </w:numPr>
        <w:tabs>
          <w:tab w:val="left" w:pos="1601"/>
        </w:tabs>
      </w:pPr>
      <w:r w:rsidRPr="00E23160">
        <w:t>a partnership of which all partners are registered pharmacists</w:t>
      </w:r>
      <w:r w:rsidR="00430C5B">
        <w:t>; or</w:t>
      </w:r>
    </w:p>
    <w:p w14:paraId="48F766D4" w14:textId="77777777" w:rsidR="00430C5B" w:rsidRPr="009F2B42" w:rsidRDefault="00430C5B" w:rsidP="00430C5B">
      <w:pPr>
        <w:pStyle w:val="ListParagraph"/>
        <w:rPr>
          <w:sz w:val="16"/>
          <w:szCs w:val="16"/>
        </w:rPr>
      </w:pPr>
    </w:p>
    <w:p w14:paraId="3D29EF6D" w14:textId="77777777" w:rsidR="00E23160" w:rsidRPr="00E23160" w:rsidRDefault="00E23160" w:rsidP="00E23160">
      <w:pPr>
        <w:numPr>
          <w:ilvl w:val="1"/>
          <w:numId w:val="4"/>
        </w:numPr>
        <w:tabs>
          <w:tab w:val="left" w:pos="1601"/>
        </w:tabs>
        <w:spacing w:before="1"/>
      </w:pPr>
      <w:r w:rsidRPr="00E23160">
        <w:t>a corporation-</w:t>
      </w:r>
    </w:p>
    <w:p w14:paraId="182ADC2E" w14:textId="77777777" w:rsidR="00E23160" w:rsidRPr="00E23160" w:rsidRDefault="00E23160" w:rsidP="00E23160">
      <w:pPr>
        <w:numPr>
          <w:ilvl w:val="2"/>
          <w:numId w:val="4"/>
        </w:numPr>
        <w:tabs>
          <w:tab w:val="left" w:pos="2321"/>
        </w:tabs>
        <w:spacing w:line="252" w:lineRule="exact"/>
        <w:ind w:hanging="290"/>
      </w:pPr>
      <w:r w:rsidRPr="00E23160">
        <w:t>whose directors are all registered pharmacists;</w:t>
      </w:r>
      <w:r w:rsidRPr="00E23160">
        <w:rPr>
          <w:spacing w:val="-5"/>
        </w:rPr>
        <w:t xml:space="preserve"> </w:t>
      </w:r>
      <w:r w:rsidRPr="00E23160">
        <w:t>and</w:t>
      </w:r>
    </w:p>
    <w:p w14:paraId="3F4D805E" w14:textId="77777777" w:rsidR="00E23160" w:rsidRPr="00E23160" w:rsidRDefault="00E23160" w:rsidP="00E23160">
      <w:pPr>
        <w:numPr>
          <w:ilvl w:val="2"/>
          <w:numId w:val="4"/>
        </w:numPr>
        <w:tabs>
          <w:tab w:val="left" w:pos="2321"/>
        </w:tabs>
        <w:spacing w:before="1" w:line="237" w:lineRule="auto"/>
        <w:ind w:right="210" w:hanging="341"/>
        <w:rPr>
          <w:sz w:val="14"/>
        </w:rPr>
      </w:pPr>
      <w:r w:rsidRPr="00E23160">
        <w:t>all shareholders are registered</w:t>
      </w:r>
      <w:r w:rsidRPr="00E23160">
        <w:rPr>
          <w:spacing w:val="-5"/>
        </w:rPr>
        <w:t xml:space="preserve"> </w:t>
      </w:r>
      <w:r w:rsidRPr="00E23160">
        <w:t>pharmacists.</w:t>
      </w:r>
      <w:hyperlink w:anchor="_bookmark0" w:history="1">
        <w:r w:rsidRPr="00E23160">
          <w:rPr>
            <w:position w:val="8"/>
            <w:sz w:val="14"/>
          </w:rPr>
          <w:t>1</w:t>
        </w:r>
      </w:hyperlink>
    </w:p>
    <w:p w14:paraId="1B425DB5" w14:textId="77777777" w:rsidR="00E23160" w:rsidRPr="00E23160" w:rsidRDefault="00E23160" w:rsidP="00E23160">
      <w:pPr>
        <w:spacing w:before="1"/>
        <w:rPr>
          <w:sz w:val="23"/>
        </w:rPr>
      </w:pPr>
    </w:p>
    <w:p w14:paraId="4B25A599" w14:textId="77777777" w:rsidR="009F2B42" w:rsidRDefault="009F2B42" w:rsidP="009F2B42">
      <w:pPr>
        <w:pStyle w:val="Heading1"/>
        <w:ind w:left="160"/>
      </w:pPr>
      <w:r>
        <w:t>Loan Agreements, Security Agreements and undue influence</w:t>
      </w:r>
    </w:p>
    <w:p w14:paraId="7E4EACA7" w14:textId="77777777" w:rsidR="009F2B42" w:rsidRDefault="009F2B42" w:rsidP="009F2B42">
      <w:pPr>
        <w:pStyle w:val="BodyText"/>
        <w:ind w:left="160"/>
        <w:rPr>
          <w:b/>
          <w:sz w:val="23"/>
        </w:rPr>
      </w:pPr>
    </w:p>
    <w:p w14:paraId="2B428D36" w14:textId="77777777" w:rsidR="009F2B42" w:rsidRPr="000C1B76" w:rsidRDefault="009F2B42" w:rsidP="009F2B42">
      <w:pPr>
        <w:ind w:left="160"/>
      </w:pPr>
      <w:r w:rsidRPr="000C1B76">
        <w:t>Schedule 7 clause 2 of the Act in effect makes void any provision of a commercial arrangement that gives any person other than an authorised pharmacy business owner</w:t>
      </w:r>
      <w:r>
        <w:t>, t</w:t>
      </w:r>
      <w:r w:rsidRPr="000C1B76">
        <w:t xml:space="preserve">he right to </w:t>
      </w:r>
      <w:r>
        <w:t xml:space="preserve">exercise </w:t>
      </w:r>
      <w:r w:rsidRPr="00173C16">
        <w:rPr>
          <w:b/>
        </w:rPr>
        <w:t>any</w:t>
      </w:r>
      <w:r>
        <w:t xml:space="preserve"> </w:t>
      </w:r>
      <w:r w:rsidRPr="000C1B76">
        <w:t xml:space="preserve">control </w:t>
      </w:r>
      <w:r>
        <w:t xml:space="preserve">over the conduct of a </w:t>
      </w:r>
      <w:r w:rsidRPr="000C1B76">
        <w:t>pharmacy business</w:t>
      </w:r>
      <w:r>
        <w:t>.</w:t>
      </w:r>
      <w:r w:rsidRPr="000C1B76">
        <w:t xml:space="preserve"> </w:t>
      </w:r>
      <w:r w:rsidRPr="008F0AB8">
        <w:t>This may</w:t>
      </w:r>
      <w:r w:rsidRPr="000C1B76">
        <w:t xml:space="preserve"> include</w:t>
      </w:r>
      <w:r>
        <w:t xml:space="preserve">, for </w:t>
      </w:r>
      <w:proofErr w:type="gramStart"/>
      <w:r>
        <w:t>example</w:t>
      </w:r>
      <w:r w:rsidRPr="000C1B76">
        <w:t>;</w:t>
      </w:r>
      <w:proofErr w:type="gramEnd"/>
    </w:p>
    <w:p w14:paraId="333024EA" w14:textId="77777777" w:rsidR="009F2B42" w:rsidRPr="000C1B76" w:rsidRDefault="009F2B42" w:rsidP="009F2B42">
      <w:pPr>
        <w:numPr>
          <w:ilvl w:val="1"/>
          <w:numId w:val="5"/>
        </w:numPr>
        <w:tabs>
          <w:tab w:val="left" w:pos="1418"/>
        </w:tabs>
        <w:ind w:left="1418" w:right="209" w:hanging="709"/>
      </w:pPr>
      <w:r w:rsidRPr="000C1B76">
        <w:t xml:space="preserve">the right to access books of accounts or records kept in respect of that business, otherwise than for the purpose of determining whether or not the conditions of </w:t>
      </w:r>
      <w:r>
        <w:t>a</w:t>
      </w:r>
      <w:r w:rsidRPr="000C1B76">
        <w:t xml:space="preserve"> relevant document are being complied with;</w:t>
      </w:r>
      <w:r w:rsidRPr="000C1B76">
        <w:rPr>
          <w:spacing w:val="5"/>
        </w:rPr>
        <w:t xml:space="preserve"> </w:t>
      </w:r>
      <w:r w:rsidRPr="000C1B76">
        <w:t>or</w:t>
      </w:r>
    </w:p>
    <w:p w14:paraId="5904E5BF" w14:textId="77777777" w:rsidR="009F2B42" w:rsidRPr="000C1B76" w:rsidRDefault="009F2B42" w:rsidP="009F2B42">
      <w:pPr>
        <w:tabs>
          <w:tab w:val="left" w:pos="567"/>
          <w:tab w:val="left" w:pos="1701"/>
        </w:tabs>
        <w:spacing w:before="8"/>
        <w:ind w:left="160"/>
        <w:rPr>
          <w:sz w:val="23"/>
        </w:rPr>
      </w:pPr>
    </w:p>
    <w:p w14:paraId="2BEEA7D4" w14:textId="77777777" w:rsidR="009F2B42" w:rsidRPr="000C1B76" w:rsidRDefault="009F2B42" w:rsidP="009F2B42">
      <w:pPr>
        <w:numPr>
          <w:ilvl w:val="1"/>
          <w:numId w:val="5"/>
        </w:numPr>
        <w:tabs>
          <w:tab w:val="left" w:pos="567"/>
          <w:tab w:val="left" w:pos="1276"/>
          <w:tab w:val="left" w:pos="1701"/>
        </w:tabs>
        <w:spacing w:before="1"/>
        <w:ind w:left="1418" w:right="213" w:hanging="709"/>
      </w:pPr>
      <w:r>
        <w:t xml:space="preserve">  </w:t>
      </w:r>
      <w:r w:rsidRPr="000C1B76">
        <w:t>the right to receive any consideration that varies according to the profits or takings of the</w:t>
      </w:r>
      <w:r w:rsidRPr="000C1B76">
        <w:rPr>
          <w:spacing w:val="-1"/>
        </w:rPr>
        <w:t xml:space="preserve"> </w:t>
      </w:r>
      <w:r w:rsidRPr="000C1B76">
        <w:t>business.</w:t>
      </w:r>
    </w:p>
    <w:p w14:paraId="7DA948E1" w14:textId="77777777" w:rsidR="009F2B42" w:rsidRPr="000C1B76" w:rsidRDefault="009F2B42" w:rsidP="009F2B42">
      <w:pPr>
        <w:tabs>
          <w:tab w:val="left" w:pos="567"/>
          <w:tab w:val="left" w:pos="1701"/>
        </w:tabs>
        <w:ind w:left="160" w:right="209"/>
        <w:jc w:val="both"/>
      </w:pPr>
    </w:p>
    <w:p w14:paraId="625DC9E9" w14:textId="77777777" w:rsidR="009F2B42" w:rsidRPr="000C1B76" w:rsidRDefault="009F2B42" w:rsidP="009F2B42">
      <w:pPr>
        <w:tabs>
          <w:tab w:val="left" w:pos="567"/>
          <w:tab w:val="left" w:pos="821"/>
          <w:tab w:val="left" w:pos="1701"/>
        </w:tabs>
        <w:spacing w:before="1"/>
        <w:ind w:left="160" w:right="213"/>
      </w:pPr>
      <w:r w:rsidRPr="000C1B76">
        <w:t>Further, clause 11 of Schedule 7 of the Act makes it an offence for anyone to directly or indirectly attempt to coerce or otherwise cause a pharmacist to engage in conduct that contravenes the Act.</w:t>
      </w:r>
    </w:p>
    <w:p w14:paraId="48507432" w14:textId="4166D4DA" w:rsidR="00BE46FA" w:rsidRPr="00E00F91" w:rsidRDefault="00B32C53" w:rsidP="009F2B42">
      <w:pPr>
        <w:pStyle w:val="BodyText"/>
        <w:spacing w:before="10"/>
        <w:rPr>
          <w:rFonts w:ascii="Calibri"/>
          <w:i/>
          <w:sz w:val="18"/>
          <w:szCs w:val="18"/>
        </w:rPr>
      </w:pPr>
      <w:r>
        <w:rPr>
          <w:noProof/>
        </w:rPr>
        <mc:AlternateContent>
          <mc:Choice Requires="wps">
            <w:drawing>
              <wp:anchor distT="0" distB="0" distL="0" distR="0" simplePos="0" relativeHeight="251657216" behindDoc="0" locked="0" layoutInCell="1" allowOverlap="1" wp14:anchorId="15B80B4E" wp14:editId="5501CEC9">
                <wp:simplePos x="0" y="0"/>
                <wp:positionH relativeFrom="page">
                  <wp:posOffset>914400</wp:posOffset>
                </wp:positionH>
                <wp:positionV relativeFrom="paragraph">
                  <wp:posOffset>153670</wp:posOffset>
                </wp:positionV>
                <wp:extent cx="1828800" cy="0"/>
                <wp:effectExtent l="9525" t="10795" r="9525" b="8255"/>
                <wp:wrapTopAndBottom/>
                <wp:docPr id="16731805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3DDFA"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1pt" to="3in,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" strokeweight=".72pt">
                <w10:wrap type="topAndBottom" anchorx="page"/>
              </v:line>
            </w:pict>
          </mc:Fallback>
        </mc:AlternateContent>
      </w:r>
      <w:bookmarkStart w:id="0" w:name="_bookmark0"/>
      <w:bookmarkEnd w:id="0"/>
      <w:r w:rsidR="00227C6F" w:rsidRPr="00E00F91">
        <w:rPr>
          <w:rFonts w:ascii="Calibri"/>
          <w:i/>
          <w:position w:val="7"/>
          <w:sz w:val="18"/>
          <w:szCs w:val="18"/>
        </w:rPr>
        <w:t xml:space="preserve">1 </w:t>
      </w:r>
      <w:r w:rsidR="00E23160" w:rsidRPr="00E00F91">
        <w:rPr>
          <w:rFonts w:ascii="Calibri"/>
          <w:i/>
          <w:sz w:val="18"/>
          <w:szCs w:val="18"/>
        </w:rPr>
        <w:t>Schedule 7 sub-clause 2(4)</w:t>
      </w:r>
      <w:r w:rsidR="00227C6F" w:rsidRPr="00E00F91">
        <w:rPr>
          <w:rFonts w:ascii="Calibri"/>
          <w:i/>
          <w:sz w:val="18"/>
          <w:szCs w:val="18"/>
        </w:rPr>
        <w:t xml:space="preserve"> of the Act sets out some limited exceptions to this requirement which are beyond the scope of this Guidance.</w:t>
      </w:r>
    </w:p>
    <w:p w14:paraId="51868E6F" w14:textId="77777777" w:rsidR="00BE46FA" w:rsidRDefault="00BE46FA">
      <w:pPr>
        <w:spacing w:line="247" w:lineRule="auto"/>
        <w:rPr>
          <w:rFonts w:ascii="Calibri"/>
          <w:sz w:val="18"/>
        </w:rPr>
        <w:sectPr w:rsidR="00BE46FA">
          <w:headerReference w:type="default" r:id="rId8"/>
          <w:footerReference w:type="default" r:id="rId9"/>
          <w:type w:val="continuous"/>
          <w:pgSz w:w="11920" w:h="16850"/>
          <w:pgMar w:top="1440" w:right="1240" w:bottom="1200" w:left="1320" w:header="720" w:footer="1014" w:gutter="0"/>
          <w:pgNumType w:start="1"/>
          <w:cols w:space="720"/>
        </w:sectPr>
      </w:pPr>
    </w:p>
    <w:p w14:paraId="5FB8192E" w14:textId="0F44AE12" w:rsidR="00BE46FA" w:rsidRDefault="00D54749" w:rsidP="00430C5B">
      <w:pPr>
        <w:pStyle w:val="BodyText"/>
        <w:ind w:left="160"/>
      </w:pPr>
      <w:r>
        <w:lastRenderedPageBreak/>
        <w:t>Prospective p</w:t>
      </w:r>
      <w:r w:rsidR="00227C6F">
        <w:t xml:space="preserve">harmacy business </w:t>
      </w:r>
      <w:r>
        <w:t>owners</w:t>
      </w:r>
      <w:r w:rsidR="00227C6F">
        <w:t xml:space="preserve"> should be wary of certain contractual provisions that may be used by money lenders or creditors.</w:t>
      </w:r>
    </w:p>
    <w:p w14:paraId="34AAD6C6" w14:textId="77777777" w:rsidR="00BE46FA" w:rsidRDefault="00BE46FA" w:rsidP="00430C5B">
      <w:pPr>
        <w:pStyle w:val="BodyText"/>
        <w:ind w:left="160"/>
        <w:rPr>
          <w:sz w:val="23"/>
        </w:rPr>
      </w:pPr>
    </w:p>
    <w:p w14:paraId="18FE3456" w14:textId="59E2197B" w:rsidR="00BE46FA" w:rsidRDefault="00227C6F" w:rsidP="00430C5B">
      <w:pPr>
        <w:pStyle w:val="BodyText"/>
        <w:ind w:left="160"/>
      </w:pPr>
      <w:r>
        <w:t>In particular, be wary of clauses that:</w:t>
      </w:r>
    </w:p>
    <w:p w14:paraId="59D1FE12" w14:textId="78953062" w:rsidR="00BE46FA" w:rsidRDefault="00227C6F" w:rsidP="00E00F91">
      <w:pPr>
        <w:pStyle w:val="ListParagraph"/>
        <w:numPr>
          <w:ilvl w:val="0"/>
          <w:numId w:val="3"/>
        </w:numPr>
        <w:tabs>
          <w:tab w:val="left" w:pos="882"/>
        </w:tabs>
        <w:spacing w:line="237" w:lineRule="auto"/>
        <w:ind w:left="1560" w:right="209" w:hanging="709"/>
        <w:jc w:val="left"/>
      </w:pPr>
      <w:r>
        <w:t xml:space="preserve">allow the lender or security holder to dictate or control the way the business is </w:t>
      </w:r>
      <w:r w:rsidR="00235128">
        <w:t>operated.</w:t>
      </w:r>
    </w:p>
    <w:p w14:paraId="680CECC0" w14:textId="77777777" w:rsidR="00BE46FA" w:rsidRDefault="00BE46FA" w:rsidP="00E00F91">
      <w:pPr>
        <w:pStyle w:val="BodyText"/>
        <w:spacing w:before="4"/>
        <w:ind w:left="1560" w:hanging="709"/>
      </w:pPr>
    </w:p>
    <w:p w14:paraId="52E37763" w14:textId="2F2C1196" w:rsidR="00BE46FA" w:rsidRDefault="00227C6F" w:rsidP="00E00F91">
      <w:pPr>
        <w:pStyle w:val="ListParagraph"/>
        <w:numPr>
          <w:ilvl w:val="0"/>
          <w:numId w:val="3"/>
        </w:numPr>
        <w:tabs>
          <w:tab w:val="left" w:pos="883"/>
        </w:tabs>
        <w:spacing w:before="1" w:line="237" w:lineRule="auto"/>
        <w:ind w:left="1560" w:right="208" w:hanging="709"/>
        <w:jc w:val="left"/>
      </w:pPr>
      <w:r>
        <w:t xml:space="preserve">provide that any payment made pursuant to the loan or security agreement (including interest or loan fees) increases or decrease in accordance with the profits of the pharmacy </w:t>
      </w:r>
      <w:r w:rsidR="00235128">
        <w:t>business.</w:t>
      </w:r>
    </w:p>
    <w:p w14:paraId="7B67F18B" w14:textId="77777777" w:rsidR="00BE46FA" w:rsidRDefault="00BE46FA" w:rsidP="00E00F91">
      <w:pPr>
        <w:pStyle w:val="BodyText"/>
        <w:spacing w:before="1"/>
        <w:ind w:left="1560" w:hanging="709"/>
      </w:pPr>
    </w:p>
    <w:p w14:paraId="5DAA66DE" w14:textId="77777777" w:rsidR="00BE46FA" w:rsidRDefault="00227C6F" w:rsidP="00E00F91">
      <w:pPr>
        <w:pStyle w:val="ListParagraph"/>
        <w:numPr>
          <w:ilvl w:val="0"/>
          <w:numId w:val="3"/>
        </w:numPr>
        <w:tabs>
          <w:tab w:val="left" w:pos="883"/>
        </w:tabs>
        <w:ind w:left="1560" w:right="206" w:hanging="709"/>
        <w:jc w:val="left"/>
      </w:pPr>
      <w:r>
        <w:t>give the lender or security provider a right to access the records and accounts of the pharmacy business (extending beyond that required to ascertain whether the terms of the loan or security agreement are being complied with- for example whether the pharmacy business is solvent or has not</w:t>
      </w:r>
      <w:r>
        <w:rPr>
          <w:spacing w:val="-6"/>
        </w:rPr>
        <w:t xml:space="preserve"> </w:t>
      </w:r>
      <w:r>
        <w:t>restructured).</w:t>
      </w:r>
    </w:p>
    <w:p w14:paraId="6D3938C6" w14:textId="77777777" w:rsidR="00BE46FA" w:rsidRDefault="00BE46FA">
      <w:pPr>
        <w:pStyle w:val="BodyText"/>
        <w:rPr>
          <w:sz w:val="24"/>
        </w:rPr>
      </w:pPr>
    </w:p>
    <w:p w14:paraId="4743F3DF" w14:textId="77777777" w:rsidR="00BE46FA" w:rsidRDefault="00BE46FA">
      <w:pPr>
        <w:pStyle w:val="BodyText"/>
        <w:spacing w:before="10"/>
        <w:rPr>
          <w:sz w:val="35"/>
        </w:rPr>
      </w:pPr>
    </w:p>
    <w:p w14:paraId="46FCE309" w14:textId="77777777" w:rsidR="00BE46FA" w:rsidRDefault="00BE46FA">
      <w:pPr>
        <w:pStyle w:val="BodyText"/>
        <w:rPr>
          <w:sz w:val="20"/>
        </w:rPr>
      </w:pPr>
    </w:p>
    <w:p w14:paraId="6E9EB80B" w14:textId="77777777" w:rsidR="00BE46FA" w:rsidRDefault="00BE46FA">
      <w:pPr>
        <w:pStyle w:val="BodyText"/>
        <w:rPr>
          <w:sz w:val="20"/>
        </w:rPr>
      </w:pPr>
    </w:p>
    <w:p w14:paraId="5A076DCA" w14:textId="77777777" w:rsidR="00BE46FA" w:rsidRDefault="00BE46FA">
      <w:pPr>
        <w:pStyle w:val="BodyText"/>
        <w:rPr>
          <w:sz w:val="20"/>
        </w:rPr>
      </w:pPr>
    </w:p>
    <w:p w14:paraId="6A0BB885" w14:textId="77777777" w:rsidR="00BE46FA" w:rsidRDefault="00BE46FA">
      <w:pPr>
        <w:pStyle w:val="BodyText"/>
        <w:rPr>
          <w:sz w:val="20"/>
        </w:rPr>
      </w:pPr>
    </w:p>
    <w:p w14:paraId="5EB2B3DC" w14:textId="77777777" w:rsidR="00BE46FA" w:rsidRDefault="00BE46FA">
      <w:pPr>
        <w:pStyle w:val="BodyText"/>
        <w:rPr>
          <w:sz w:val="20"/>
        </w:rPr>
      </w:pPr>
    </w:p>
    <w:p w14:paraId="08AAEE32" w14:textId="77777777" w:rsidR="00BE46FA" w:rsidRDefault="00BE46FA">
      <w:pPr>
        <w:pStyle w:val="BodyText"/>
        <w:rPr>
          <w:sz w:val="20"/>
        </w:rPr>
      </w:pPr>
    </w:p>
    <w:p w14:paraId="20809D87" w14:textId="77777777" w:rsidR="00BE46FA" w:rsidRDefault="00BE46FA">
      <w:pPr>
        <w:pStyle w:val="BodyText"/>
        <w:rPr>
          <w:sz w:val="20"/>
        </w:rPr>
      </w:pPr>
    </w:p>
    <w:p w14:paraId="012801B7" w14:textId="77777777" w:rsidR="00BE46FA" w:rsidRDefault="00BE46FA">
      <w:pPr>
        <w:pStyle w:val="BodyText"/>
        <w:rPr>
          <w:sz w:val="20"/>
        </w:rPr>
      </w:pPr>
    </w:p>
    <w:p w14:paraId="76D66966" w14:textId="77777777" w:rsidR="00BE46FA" w:rsidRDefault="00BE46FA">
      <w:pPr>
        <w:pStyle w:val="BodyText"/>
        <w:rPr>
          <w:sz w:val="20"/>
        </w:rPr>
      </w:pPr>
    </w:p>
    <w:p w14:paraId="1A96566F" w14:textId="38D7FC21" w:rsidR="00BE46FA" w:rsidRDefault="00BE46FA">
      <w:pPr>
        <w:pStyle w:val="BodyText"/>
        <w:rPr>
          <w:sz w:val="20"/>
        </w:rPr>
      </w:pPr>
    </w:p>
    <w:p w14:paraId="50F05BE9" w14:textId="38E9C6FD" w:rsidR="009F2B42" w:rsidRDefault="009F2B42">
      <w:pPr>
        <w:pStyle w:val="BodyText"/>
        <w:rPr>
          <w:sz w:val="20"/>
        </w:rPr>
      </w:pPr>
    </w:p>
    <w:p w14:paraId="7B83A2E9" w14:textId="7E38C447" w:rsidR="009F2B42" w:rsidRDefault="009F2B42">
      <w:pPr>
        <w:pStyle w:val="BodyText"/>
        <w:rPr>
          <w:sz w:val="20"/>
        </w:rPr>
      </w:pPr>
    </w:p>
    <w:p w14:paraId="62CEC569" w14:textId="2F5E1686" w:rsidR="009F2B42" w:rsidRDefault="009F2B42">
      <w:pPr>
        <w:pStyle w:val="BodyText"/>
        <w:rPr>
          <w:sz w:val="20"/>
        </w:rPr>
      </w:pPr>
    </w:p>
    <w:p w14:paraId="4792D6A4" w14:textId="6BB68DBB" w:rsidR="009F2B42" w:rsidRDefault="009F2B42">
      <w:pPr>
        <w:pStyle w:val="BodyText"/>
        <w:rPr>
          <w:sz w:val="20"/>
        </w:rPr>
      </w:pPr>
    </w:p>
    <w:p w14:paraId="55684069" w14:textId="18D36DB1" w:rsidR="009F2B42" w:rsidRDefault="009F2B42">
      <w:pPr>
        <w:pStyle w:val="BodyText"/>
        <w:rPr>
          <w:sz w:val="20"/>
        </w:rPr>
      </w:pPr>
    </w:p>
    <w:p w14:paraId="0223CF2F" w14:textId="1CD98C08" w:rsidR="009F2B42" w:rsidRDefault="009F2B42">
      <w:pPr>
        <w:pStyle w:val="BodyText"/>
        <w:rPr>
          <w:sz w:val="20"/>
        </w:rPr>
      </w:pPr>
    </w:p>
    <w:p w14:paraId="60DDDE8E" w14:textId="3C37268E" w:rsidR="009F2B42" w:rsidRDefault="009F2B42">
      <w:pPr>
        <w:pStyle w:val="BodyText"/>
        <w:rPr>
          <w:sz w:val="20"/>
        </w:rPr>
      </w:pPr>
    </w:p>
    <w:p w14:paraId="2ACEDDE5" w14:textId="326080CF" w:rsidR="009F2B42" w:rsidRDefault="009F2B42">
      <w:pPr>
        <w:pStyle w:val="BodyText"/>
        <w:rPr>
          <w:sz w:val="20"/>
        </w:rPr>
      </w:pPr>
    </w:p>
    <w:p w14:paraId="3B3A55BF" w14:textId="2174E0DE" w:rsidR="009F2B42" w:rsidRDefault="009F2B42">
      <w:pPr>
        <w:pStyle w:val="BodyText"/>
        <w:rPr>
          <w:sz w:val="20"/>
        </w:rPr>
      </w:pPr>
    </w:p>
    <w:p w14:paraId="1BE35D12" w14:textId="41EFB47F" w:rsidR="009F2B42" w:rsidRDefault="009F2B42">
      <w:pPr>
        <w:pStyle w:val="BodyText"/>
        <w:rPr>
          <w:sz w:val="20"/>
        </w:rPr>
      </w:pPr>
    </w:p>
    <w:p w14:paraId="23EC3D83" w14:textId="3744CD06" w:rsidR="009F2B42" w:rsidRDefault="009F2B42">
      <w:pPr>
        <w:pStyle w:val="BodyText"/>
        <w:rPr>
          <w:sz w:val="20"/>
        </w:rPr>
      </w:pPr>
    </w:p>
    <w:p w14:paraId="657A2C34" w14:textId="3B79B9A2" w:rsidR="009F2B42" w:rsidRDefault="009F2B42">
      <w:pPr>
        <w:pStyle w:val="BodyText"/>
        <w:rPr>
          <w:sz w:val="20"/>
        </w:rPr>
      </w:pPr>
    </w:p>
    <w:p w14:paraId="47D34F52" w14:textId="344A0ED2" w:rsidR="009F2B42" w:rsidRDefault="009F2B42">
      <w:pPr>
        <w:pStyle w:val="BodyText"/>
        <w:rPr>
          <w:sz w:val="20"/>
        </w:rPr>
      </w:pPr>
    </w:p>
    <w:p w14:paraId="18276968" w14:textId="208808F8" w:rsidR="009F2B42" w:rsidRDefault="009F2B42">
      <w:pPr>
        <w:pStyle w:val="BodyText"/>
        <w:rPr>
          <w:sz w:val="20"/>
        </w:rPr>
      </w:pPr>
    </w:p>
    <w:p w14:paraId="1DCCC619" w14:textId="2B0DE984" w:rsidR="009F2B42" w:rsidRDefault="009F2B42">
      <w:pPr>
        <w:pStyle w:val="BodyText"/>
        <w:rPr>
          <w:sz w:val="20"/>
        </w:rPr>
      </w:pPr>
    </w:p>
    <w:p w14:paraId="4FC43495" w14:textId="465A708C" w:rsidR="009F2B42" w:rsidRDefault="009F2B42">
      <w:pPr>
        <w:pStyle w:val="BodyText"/>
        <w:rPr>
          <w:sz w:val="20"/>
        </w:rPr>
      </w:pPr>
    </w:p>
    <w:p w14:paraId="169C8BAB" w14:textId="4AEC1EF0" w:rsidR="009F2B42" w:rsidRDefault="009F2B42">
      <w:pPr>
        <w:pStyle w:val="BodyText"/>
        <w:rPr>
          <w:sz w:val="20"/>
        </w:rPr>
      </w:pPr>
    </w:p>
    <w:p w14:paraId="5F6BBC32" w14:textId="7FCF9307" w:rsidR="009F2B42" w:rsidRDefault="009F2B42">
      <w:pPr>
        <w:pStyle w:val="BodyText"/>
        <w:rPr>
          <w:sz w:val="20"/>
        </w:rPr>
      </w:pPr>
    </w:p>
    <w:p w14:paraId="59486296" w14:textId="503D84FF" w:rsidR="009F2B42" w:rsidRDefault="009F2B42">
      <w:pPr>
        <w:pStyle w:val="BodyText"/>
        <w:rPr>
          <w:sz w:val="20"/>
        </w:rPr>
      </w:pPr>
    </w:p>
    <w:p w14:paraId="6323F9FC" w14:textId="5A5477B2" w:rsidR="009F2B42" w:rsidRDefault="009F2B42">
      <w:pPr>
        <w:pStyle w:val="BodyText"/>
        <w:rPr>
          <w:sz w:val="20"/>
        </w:rPr>
      </w:pPr>
    </w:p>
    <w:p w14:paraId="7580DC1A" w14:textId="77777777" w:rsidR="009F2B42" w:rsidRDefault="009F2B42">
      <w:pPr>
        <w:pStyle w:val="BodyText"/>
        <w:rPr>
          <w:sz w:val="20"/>
        </w:rPr>
      </w:pPr>
    </w:p>
    <w:p w14:paraId="147EA064" w14:textId="77777777" w:rsidR="00BE46FA" w:rsidRDefault="00BE46FA">
      <w:pPr>
        <w:pStyle w:val="BodyText"/>
        <w:rPr>
          <w:sz w:val="20"/>
        </w:rPr>
      </w:pPr>
    </w:p>
    <w:p w14:paraId="58DBDB6B" w14:textId="77777777" w:rsidR="00BE46FA" w:rsidRDefault="00BE46FA">
      <w:pPr>
        <w:pStyle w:val="BodyText"/>
        <w:rPr>
          <w:sz w:val="20"/>
        </w:rPr>
      </w:pPr>
    </w:p>
    <w:p w14:paraId="057D6F77" w14:textId="00651936" w:rsidR="00BE46FA" w:rsidRDefault="00BE46FA">
      <w:pPr>
        <w:pStyle w:val="BodyText"/>
        <w:rPr>
          <w:sz w:val="20"/>
        </w:rPr>
      </w:pPr>
    </w:p>
    <w:p w14:paraId="4184E2CA" w14:textId="29DE9ACA" w:rsidR="004F5526" w:rsidRDefault="004F5526">
      <w:pPr>
        <w:pStyle w:val="BodyText"/>
        <w:rPr>
          <w:sz w:val="20"/>
        </w:rPr>
      </w:pPr>
    </w:p>
    <w:p w14:paraId="5BE4F6FF" w14:textId="4947B38F" w:rsidR="004F5526" w:rsidRDefault="004F5526">
      <w:pPr>
        <w:pStyle w:val="BodyText"/>
        <w:rPr>
          <w:sz w:val="20"/>
        </w:rPr>
      </w:pPr>
    </w:p>
    <w:p w14:paraId="5EC060B2" w14:textId="77777777" w:rsidR="004F5526" w:rsidRDefault="004F5526">
      <w:pPr>
        <w:pStyle w:val="BodyText"/>
        <w:rPr>
          <w:sz w:val="20"/>
        </w:rPr>
      </w:pPr>
    </w:p>
    <w:p w14:paraId="3829E8AB" w14:textId="455FE6E4" w:rsidR="00BE46FA" w:rsidRDefault="00BE46FA">
      <w:pPr>
        <w:pStyle w:val="BodyText"/>
        <w:spacing w:before="2"/>
        <w:rPr>
          <w:sz w:val="16"/>
        </w:rPr>
      </w:pPr>
    </w:p>
    <w:sectPr w:rsidR="00BE46FA">
      <w:pgSz w:w="11920" w:h="16850"/>
      <w:pgMar w:top="1360" w:right="12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33C2" w14:textId="77777777" w:rsidR="00B169D0" w:rsidRDefault="00B169D0">
      <w:r>
        <w:separator/>
      </w:r>
    </w:p>
  </w:endnote>
  <w:endnote w:type="continuationSeparator" w:id="0">
    <w:p w14:paraId="2734D423" w14:textId="77777777" w:rsidR="00B169D0" w:rsidRDefault="00B1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79" w:type="dxa"/>
      <w:tblLook w:val="04A0" w:firstRow="1" w:lastRow="0" w:firstColumn="1" w:lastColumn="0" w:noHBand="0" w:noVBand="1"/>
    </w:tblPr>
    <w:tblGrid>
      <w:gridCol w:w="4342"/>
      <w:gridCol w:w="4621"/>
    </w:tblGrid>
    <w:tr w:rsidR="00E00F91" w14:paraId="2527B59B" w14:textId="77777777" w:rsidTr="00A85348">
      <w:trPr>
        <w:trHeight w:val="248"/>
      </w:trPr>
      <w:tc>
        <w:tcPr>
          <w:tcW w:w="8963" w:type="dxa"/>
          <w:gridSpan w:val="2"/>
        </w:tcPr>
        <w:p w14:paraId="2F6A8972" w14:textId="77777777" w:rsidR="00E00F91" w:rsidRDefault="00E00F91" w:rsidP="00E00F91">
          <w:pPr>
            <w:pStyle w:val="Footer"/>
          </w:pPr>
          <w:r w:rsidRPr="00D3605A">
            <w:rPr>
              <w:sz w:val="20"/>
              <w:szCs w:val="20"/>
            </w:rPr>
            <w:t>Endorsed By: Northern Territory Pharmacy Premises Committee</w:t>
          </w:r>
        </w:p>
      </w:tc>
    </w:tr>
    <w:tr w:rsidR="00E00F91" w14:paraId="6DB72C98" w14:textId="77777777" w:rsidTr="00A85348">
      <w:trPr>
        <w:trHeight w:val="247"/>
      </w:trPr>
      <w:tc>
        <w:tcPr>
          <w:tcW w:w="4342" w:type="dxa"/>
        </w:tcPr>
        <w:p w14:paraId="7F6EB0F4" w14:textId="6C1C4308" w:rsidR="00E00F91" w:rsidRPr="00A92522" w:rsidRDefault="00E00F91" w:rsidP="009F2B42">
          <w:pPr>
            <w:pStyle w:val="Footer"/>
            <w:rPr>
              <w:sz w:val="20"/>
              <w:szCs w:val="20"/>
            </w:rPr>
          </w:pPr>
          <w:r w:rsidRPr="00D3605A">
            <w:rPr>
              <w:sz w:val="20"/>
              <w:szCs w:val="20"/>
            </w:rPr>
            <w:t>Effective Date</w:t>
          </w:r>
          <w:r w:rsidR="0096036D">
            <w:rPr>
              <w:sz w:val="20"/>
              <w:szCs w:val="20"/>
            </w:rPr>
            <w:t>: 30 October 2025</w:t>
          </w:r>
        </w:p>
      </w:tc>
      <w:tc>
        <w:tcPr>
          <w:tcW w:w="4621" w:type="dxa"/>
        </w:tcPr>
        <w:p w14:paraId="548782F1" w14:textId="47C92F7E" w:rsidR="00E00F91" w:rsidRPr="00D3605A" w:rsidRDefault="00E00F91" w:rsidP="009F2B42">
          <w:pPr>
            <w:pStyle w:val="Footer"/>
            <w:rPr>
              <w:sz w:val="20"/>
              <w:szCs w:val="20"/>
            </w:rPr>
          </w:pPr>
          <w:r w:rsidRPr="00D3605A">
            <w:rPr>
              <w:sz w:val="20"/>
              <w:szCs w:val="20"/>
            </w:rPr>
            <w:t>Review</w:t>
          </w:r>
          <w:r>
            <w:rPr>
              <w:sz w:val="20"/>
              <w:szCs w:val="20"/>
            </w:rPr>
            <w:t xml:space="preserve"> Date</w:t>
          </w:r>
          <w:r w:rsidRPr="00D3605A">
            <w:rPr>
              <w:sz w:val="20"/>
              <w:szCs w:val="20"/>
            </w:rPr>
            <w:t xml:space="preserve">: </w:t>
          </w:r>
          <w:r w:rsidR="0096036D" w:rsidRPr="0096036D">
            <w:rPr>
              <w:sz w:val="20"/>
              <w:szCs w:val="20"/>
            </w:rPr>
            <w:t>1 November 2028</w:t>
          </w:r>
        </w:p>
      </w:tc>
    </w:tr>
  </w:tbl>
  <w:p w14:paraId="77646D14" w14:textId="6204B1BB" w:rsidR="00BE46FA" w:rsidRDefault="00B32C5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C7FDCF" wp14:editId="1F357CE2">
              <wp:simplePos x="0" y="0"/>
              <wp:positionH relativeFrom="page">
                <wp:posOffset>3641725</wp:posOffset>
              </wp:positionH>
              <wp:positionV relativeFrom="page">
                <wp:posOffset>10340340</wp:posOffset>
              </wp:positionV>
              <wp:extent cx="121920" cy="165735"/>
              <wp:effectExtent l="3175" t="0" r="0" b="0"/>
              <wp:wrapNone/>
              <wp:docPr id="3763743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C400" w14:textId="22628361" w:rsidR="00BE46FA" w:rsidRDefault="00227C6F">
                          <w:pPr>
                            <w:pStyle w:val="BodyText"/>
                            <w:spacing w:line="245" w:lineRule="exact"/>
                            <w:ind w:left="40"/>
                            <w:rPr>
                              <w:rFonts w:ascii="Calibri"/>
                            </w:rPr>
                          </w:pPr>
                          <w:r>
                            <w:fldChar w:fldCharType="begin"/>
                          </w:r>
                          <w:r>
                            <w:rPr>
                              <w:rFonts w:ascii="Calibri"/>
                            </w:rPr>
                            <w:instrText xml:space="preserve"> PAGE </w:instrText>
                          </w:r>
                          <w:r>
                            <w:fldChar w:fldCharType="separate"/>
                          </w:r>
                          <w:r w:rsidR="009F2B42">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7FDCF" id="_x0000_t202" coordsize="21600,21600" o:spt="202" path="m,l,21600r21600,l21600,xe">
              <v:stroke joinstyle="miter"/>
              <v:path gradientshapeok="t" o:connecttype="rect"/>
            </v:shapetype>
            <v:shape id="Text Box 1" o:spid="_x0000_s1026" type="#_x0000_t202" style="position:absolute;margin-left:286.75pt;margin-top:814.2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" filled="f" stroked="f">
              <v:textbox inset="0,0,0,0">
                <w:txbxContent>
                  <w:p w14:paraId="0060C400" w14:textId="22628361" w:rsidR="00BE46FA" w:rsidRDefault="00227C6F">
                    <w:pPr>
                      <w:pStyle w:val="BodyText"/>
                      <w:spacing w:line="245" w:lineRule="exact"/>
                      <w:ind w:left="40"/>
                      <w:rPr>
                        <w:rFonts w:ascii="Calibri"/>
                      </w:rPr>
                    </w:pPr>
                    <w:r>
                      <w:fldChar w:fldCharType="begin"/>
                    </w:r>
                    <w:r>
                      <w:rPr>
                        <w:rFonts w:ascii="Calibri"/>
                      </w:rPr>
                      <w:instrText xml:space="preserve"> PAGE </w:instrText>
                    </w:r>
                    <w:r>
                      <w:fldChar w:fldCharType="separate"/>
                    </w:r>
                    <w:r w:rsidR="009F2B42">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3C71" w14:textId="77777777" w:rsidR="00B169D0" w:rsidRDefault="00B169D0">
      <w:r>
        <w:separator/>
      </w:r>
    </w:p>
  </w:footnote>
  <w:footnote w:type="continuationSeparator" w:id="0">
    <w:p w14:paraId="67E973B6" w14:textId="77777777" w:rsidR="00B169D0" w:rsidRDefault="00B1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2187" w14:textId="2AE60BA4" w:rsidR="00A92D8A" w:rsidRPr="00772E58" w:rsidRDefault="00A92D8A" w:rsidP="00772E5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57A"/>
    <w:multiLevelType w:val="hybridMultilevel"/>
    <w:tmpl w:val="2C727C4E"/>
    <w:lvl w:ilvl="0" w:tplc="44E684C0">
      <w:start w:val="1"/>
      <w:numFmt w:val="decimal"/>
      <w:lvlText w:val="(%1)"/>
      <w:lvlJc w:val="left"/>
      <w:pPr>
        <w:ind w:left="881" w:hanging="360"/>
        <w:jc w:val="left"/>
      </w:pPr>
      <w:rPr>
        <w:rFonts w:ascii="Arial" w:eastAsia="Arial" w:hAnsi="Arial" w:cs="Arial" w:hint="default"/>
        <w:spacing w:val="-1"/>
        <w:w w:val="100"/>
        <w:sz w:val="22"/>
        <w:szCs w:val="22"/>
        <w:lang w:val="en-AU" w:eastAsia="en-AU" w:bidi="en-AU"/>
      </w:rPr>
    </w:lvl>
    <w:lvl w:ilvl="1" w:tplc="2E96B5A8">
      <w:start w:val="1"/>
      <w:numFmt w:val="lowerLetter"/>
      <w:lvlText w:val="%2)"/>
      <w:lvlJc w:val="left"/>
      <w:pPr>
        <w:ind w:left="1602" w:hanging="360"/>
        <w:jc w:val="left"/>
      </w:pPr>
      <w:rPr>
        <w:rFonts w:ascii="Arial" w:eastAsia="Arial" w:hAnsi="Arial" w:cs="Arial" w:hint="default"/>
        <w:spacing w:val="-1"/>
        <w:w w:val="100"/>
        <w:sz w:val="22"/>
        <w:szCs w:val="22"/>
        <w:lang w:val="en-AU" w:eastAsia="en-AU" w:bidi="en-AU"/>
      </w:rPr>
    </w:lvl>
    <w:lvl w:ilvl="2" w:tplc="5B206184">
      <w:start w:val="1"/>
      <w:numFmt w:val="lowerRoman"/>
      <w:lvlText w:val="%3."/>
      <w:lvlJc w:val="left"/>
      <w:pPr>
        <w:ind w:left="2322" w:hanging="291"/>
        <w:jc w:val="left"/>
      </w:pPr>
      <w:rPr>
        <w:rFonts w:ascii="Arial" w:eastAsia="Arial" w:hAnsi="Arial" w:cs="Arial" w:hint="default"/>
        <w:spacing w:val="-2"/>
        <w:w w:val="100"/>
        <w:sz w:val="22"/>
        <w:szCs w:val="22"/>
        <w:lang w:val="en-AU" w:eastAsia="en-AU" w:bidi="en-AU"/>
      </w:rPr>
    </w:lvl>
    <w:lvl w:ilvl="3" w:tplc="7F48749C">
      <w:numFmt w:val="bullet"/>
      <w:lvlText w:val="•"/>
      <w:lvlJc w:val="left"/>
      <w:pPr>
        <w:ind w:left="3198" w:hanging="291"/>
      </w:pPr>
      <w:rPr>
        <w:rFonts w:hint="default"/>
        <w:lang w:val="en-AU" w:eastAsia="en-AU" w:bidi="en-AU"/>
      </w:rPr>
    </w:lvl>
    <w:lvl w:ilvl="4" w:tplc="F76CA374">
      <w:numFmt w:val="bullet"/>
      <w:lvlText w:val="•"/>
      <w:lvlJc w:val="left"/>
      <w:pPr>
        <w:ind w:left="4077" w:hanging="291"/>
      </w:pPr>
      <w:rPr>
        <w:rFonts w:hint="default"/>
        <w:lang w:val="en-AU" w:eastAsia="en-AU" w:bidi="en-AU"/>
      </w:rPr>
    </w:lvl>
    <w:lvl w:ilvl="5" w:tplc="4CCC839C">
      <w:numFmt w:val="bullet"/>
      <w:lvlText w:val="•"/>
      <w:lvlJc w:val="left"/>
      <w:pPr>
        <w:ind w:left="4956" w:hanging="291"/>
      </w:pPr>
      <w:rPr>
        <w:rFonts w:hint="default"/>
        <w:lang w:val="en-AU" w:eastAsia="en-AU" w:bidi="en-AU"/>
      </w:rPr>
    </w:lvl>
    <w:lvl w:ilvl="6" w:tplc="758E6616">
      <w:numFmt w:val="bullet"/>
      <w:lvlText w:val="•"/>
      <w:lvlJc w:val="left"/>
      <w:pPr>
        <w:ind w:left="5835" w:hanging="291"/>
      </w:pPr>
      <w:rPr>
        <w:rFonts w:hint="default"/>
        <w:lang w:val="en-AU" w:eastAsia="en-AU" w:bidi="en-AU"/>
      </w:rPr>
    </w:lvl>
    <w:lvl w:ilvl="7" w:tplc="E3DAA946">
      <w:numFmt w:val="bullet"/>
      <w:lvlText w:val="•"/>
      <w:lvlJc w:val="left"/>
      <w:pPr>
        <w:ind w:left="6714" w:hanging="291"/>
      </w:pPr>
      <w:rPr>
        <w:rFonts w:hint="default"/>
        <w:lang w:val="en-AU" w:eastAsia="en-AU" w:bidi="en-AU"/>
      </w:rPr>
    </w:lvl>
    <w:lvl w:ilvl="8" w:tplc="83943F0E">
      <w:numFmt w:val="bullet"/>
      <w:lvlText w:val="•"/>
      <w:lvlJc w:val="left"/>
      <w:pPr>
        <w:ind w:left="7593" w:hanging="291"/>
      </w:pPr>
      <w:rPr>
        <w:rFonts w:hint="default"/>
        <w:lang w:val="en-AU" w:eastAsia="en-AU" w:bidi="en-AU"/>
      </w:rPr>
    </w:lvl>
  </w:abstractNum>
  <w:abstractNum w:abstractNumId="1" w15:restartNumberingAfterBreak="0">
    <w:nsid w:val="3F1C44F3"/>
    <w:multiLevelType w:val="hybridMultilevel"/>
    <w:tmpl w:val="9C60B1C4"/>
    <w:lvl w:ilvl="0" w:tplc="49EAEC80">
      <w:numFmt w:val="bullet"/>
      <w:lvlText w:val=""/>
      <w:lvlJc w:val="left"/>
      <w:pPr>
        <w:ind w:left="881" w:hanging="361"/>
      </w:pPr>
      <w:rPr>
        <w:rFonts w:ascii="Symbol" w:eastAsia="Symbol" w:hAnsi="Symbol" w:cs="Symbol" w:hint="default"/>
        <w:w w:val="100"/>
        <w:sz w:val="22"/>
        <w:szCs w:val="22"/>
        <w:lang w:val="en-AU" w:eastAsia="en-AU" w:bidi="en-AU"/>
      </w:rPr>
    </w:lvl>
    <w:lvl w:ilvl="1" w:tplc="92765E32">
      <w:numFmt w:val="bullet"/>
      <w:lvlText w:val="•"/>
      <w:lvlJc w:val="left"/>
      <w:pPr>
        <w:ind w:left="1727" w:hanging="361"/>
      </w:pPr>
      <w:rPr>
        <w:rFonts w:hint="default"/>
        <w:lang w:val="en-AU" w:eastAsia="en-AU" w:bidi="en-AU"/>
      </w:rPr>
    </w:lvl>
    <w:lvl w:ilvl="2" w:tplc="238C324C">
      <w:numFmt w:val="bullet"/>
      <w:lvlText w:val="•"/>
      <w:lvlJc w:val="left"/>
      <w:pPr>
        <w:ind w:left="2574" w:hanging="361"/>
      </w:pPr>
      <w:rPr>
        <w:rFonts w:hint="default"/>
        <w:lang w:val="en-AU" w:eastAsia="en-AU" w:bidi="en-AU"/>
      </w:rPr>
    </w:lvl>
    <w:lvl w:ilvl="3" w:tplc="FBAC8C20">
      <w:numFmt w:val="bullet"/>
      <w:lvlText w:val="•"/>
      <w:lvlJc w:val="left"/>
      <w:pPr>
        <w:ind w:left="3421" w:hanging="361"/>
      </w:pPr>
      <w:rPr>
        <w:rFonts w:hint="default"/>
        <w:lang w:val="en-AU" w:eastAsia="en-AU" w:bidi="en-AU"/>
      </w:rPr>
    </w:lvl>
    <w:lvl w:ilvl="4" w:tplc="51B26CEE">
      <w:numFmt w:val="bullet"/>
      <w:lvlText w:val="•"/>
      <w:lvlJc w:val="left"/>
      <w:pPr>
        <w:ind w:left="4268" w:hanging="361"/>
      </w:pPr>
      <w:rPr>
        <w:rFonts w:hint="default"/>
        <w:lang w:val="en-AU" w:eastAsia="en-AU" w:bidi="en-AU"/>
      </w:rPr>
    </w:lvl>
    <w:lvl w:ilvl="5" w:tplc="7EEEEA68">
      <w:numFmt w:val="bullet"/>
      <w:lvlText w:val="•"/>
      <w:lvlJc w:val="left"/>
      <w:pPr>
        <w:ind w:left="5115" w:hanging="361"/>
      </w:pPr>
      <w:rPr>
        <w:rFonts w:hint="default"/>
        <w:lang w:val="en-AU" w:eastAsia="en-AU" w:bidi="en-AU"/>
      </w:rPr>
    </w:lvl>
    <w:lvl w:ilvl="6" w:tplc="5A3C48A6">
      <w:numFmt w:val="bullet"/>
      <w:lvlText w:val="•"/>
      <w:lvlJc w:val="left"/>
      <w:pPr>
        <w:ind w:left="5962" w:hanging="361"/>
      </w:pPr>
      <w:rPr>
        <w:rFonts w:hint="default"/>
        <w:lang w:val="en-AU" w:eastAsia="en-AU" w:bidi="en-AU"/>
      </w:rPr>
    </w:lvl>
    <w:lvl w:ilvl="7" w:tplc="5C020AEA">
      <w:numFmt w:val="bullet"/>
      <w:lvlText w:val="•"/>
      <w:lvlJc w:val="left"/>
      <w:pPr>
        <w:ind w:left="6809" w:hanging="361"/>
      </w:pPr>
      <w:rPr>
        <w:rFonts w:hint="default"/>
        <w:lang w:val="en-AU" w:eastAsia="en-AU" w:bidi="en-AU"/>
      </w:rPr>
    </w:lvl>
    <w:lvl w:ilvl="8" w:tplc="273A5FD4">
      <w:numFmt w:val="bullet"/>
      <w:lvlText w:val="•"/>
      <w:lvlJc w:val="left"/>
      <w:pPr>
        <w:ind w:left="7656" w:hanging="361"/>
      </w:pPr>
      <w:rPr>
        <w:rFonts w:hint="default"/>
        <w:lang w:val="en-AU" w:eastAsia="en-AU" w:bidi="en-AU"/>
      </w:rPr>
    </w:lvl>
  </w:abstractNum>
  <w:abstractNum w:abstractNumId="2" w15:restartNumberingAfterBreak="0">
    <w:nsid w:val="676F5838"/>
    <w:multiLevelType w:val="hybridMultilevel"/>
    <w:tmpl w:val="F5C8B8BC"/>
    <w:lvl w:ilvl="0" w:tplc="F4503FBE">
      <w:start w:val="1"/>
      <w:numFmt w:val="decimal"/>
      <w:lvlText w:val="(%1)"/>
      <w:lvlJc w:val="left"/>
      <w:pPr>
        <w:ind w:left="880" w:hanging="360"/>
      </w:pPr>
      <w:rPr>
        <w:rFonts w:ascii="Arial" w:eastAsia="Arial" w:hAnsi="Arial" w:cs="Arial" w:hint="default"/>
        <w:spacing w:val="-1"/>
        <w:w w:val="100"/>
        <w:sz w:val="22"/>
        <w:szCs w:val="22"/>
        <w:lang w:val="en-AU" w:eastAsia="en-AU" w:bidi="en-AU"/>
      </w:rPr>
    </w:lvl>
    <w:lvl w:ilvl="1" w:tplc="1FB6E154">
      <w:start w:val="1"/>
      <w:numFmt w:val="lowerLetter"/>
      <w:lvlText w:val="(%2)"/>
      <w:lvlJc w:val="left"/>
      <w:pPr>
        <w:ind w:left="1600" w:hanging="360"/>
      </w:pPr>
      <w:rPr>
        <w:rFonts w:ascii="Arial" w:eastAsia="Arial" w:hAnsi="Arial" w:cs="Arial" w:hint="default"/>
        <w:spacing w:val="-2"/>
        <w:w w:val="99"/>
        <w:sz w:val="22"/>
        <w:szCs w:val="22"/>
        <w:lang w:val="en-AU" w:eastAsia="en-AU" w:bidi="en-AU"/>
      </w:rPr>
    </w:lvl>
    <w:lvl w:ilvl="2" w:tplc="711493F2">
      <w:start w:val="1"/>
      <w:numFmt w:val="lowerRoman"/>
      <w:lvlText w:val="%3."/>
      <w:lvlJc w:val="left"/>
      <w:pPr>
        <w:ind w:left="2320" w:hanging="291"/>
      </w:pPr>
      <w:rPr>
        <w:rFonts w:ascii="Arial" w:eastAsia="Arial" w:hAnsi="Arial" w:cs="Arial" w:hint="default"/>
        <w:spacing w:val="-2"/>
        <w:w w:val="100"/>
        <w:sz w:val="22"/>
        <w:szCs w:val="22"/>
        <w:lang w:val="en-AU" w:eastAsia="en-AU" w:bidi="en-AU"/>
      </w:rPr>
    </w:lvl>
    <w:lvl w:ilvl="3" w:tplc="2E76CD06">
      <w:numFmt w:val="bullet"/>
      <w:lvlText w:val="•"/>
      <w:lvlJc w:val="left"/>
      <w:pPr>
        <w:ind w:left="3198" w:hanging="291"/>
      </w:pPr>
      <w:rPr>
        <w:rFonts w:hint="default"/>
        <w:lang w:val="en-AU" w:eastAsia="en-AU" w:bidi="en-AU"/>
      </w:rPr>
    </w:lvl>
    <w:lvl w:ilvl="4" w:tplc="0428ABD4">
      <w:numFmt w:val="bullet"/>
      <w:lvlText w:val="•"/>
      <w:lvlJc w:val="left"/>
      <w:pPr>
        <w:ind w:left="4077" w:hanging="291"/>
      </w:pPr>
      <w:rPr>
        <w:rFonts w:hint="default"/>
        <w:lang w:val="en-AU" w:eastAsia="en-AU" w:bidi="en-AU"/>
      </w:rPr>
    </w:lvl>
    <w:lvl w:ilvl="5" w:tplc="5100CEEA">
      <w:numFmt w:val="bullet"/>
      <w:lvlText w:val="•"/>
      <w:lvlJc w:val="left"/>
      <w:pPr>
        <w:ind w:left="4956" w:hanging="291"/>
      </w:pPr>
      <w:rPr>
        <w:rFonts w:hint="default"/>
        <w:lang w:val="en-AU" w:eastAsia="en-AU" w:bidi="en-AU"/>
      </w:rPr>
    </w:lvl>
    <w:lvl w:ilvl="6" w:tplc="5E50BA26">
      <w:numFmt w:val="bullet"/>
      <w:lvlText w:val="•"/>
      <w:lvlJc w:val="left"/>
      <w:pPr>
        <w:ind w:left="5835" w:hanging="291"/>
      </w:pPr>
      <w:rPr>
        <w:rFonts w:hint="default"/>
        <w:lang w:val="en-AU" w:eastAsia="en-AU" w:bidi="en-AU"/>
      </w:rPr>
    </w:lvl>
    <w:lvl w:ilvl="7" w:tplc="E53EF9EA">
      <w:numFmt w:val="bullet"/>
      <w:lvlText w:val="•"/>
      <w:lvlJc w:val="left"/>
      <w:pPr>
        <w:ind w:left="6714" w:hanging="291"/>
      </w:pPr>
      <w:rPr>
        <w:rFonts w:hint="default"/>
        <w:lang w:val="en-AU" w:eastAsia="en-AU" w:bidi="en-AU"/>
      </w:rPr>
    </w:lvl>
    <w:lvl w:ilvl="8" w:tplc="286E639E">
      <w:numFmt w:val="bullet"/>
      <w:lvlText w:val="•"/>
      <w:lvlJc w:val="left"/>
      <w:pPr>
        <w:ind w:left="7593" w:hanging="291"/>
      </w:pPr>
      <w:rPr>
        <w:rFonts w:hint="default"/>
        <w:lang w:val="en-AU" w:eastAsia="en-AU" w:bidi="en-AU"/>
      </w:rPr>
    </w:lvl>
  </w:abstractNum>
  <w:abstractNum w:abstractNumId="3" w15:restartNumberingAfterBreak="0">
    <w:nsid w:val="729C1235"/>
    <w:multiLevelType w:val="hybridMultilevel"/>
    <w:tmpl w:val="40405344"/>
    <w:lvl w:ilvl="0" w:tplc="AB8EF3DE">
      <w:start w:val="1"/>
      <w:numFmt w:val="lowerLetter"/>
      <w:lvlText w:val="%1)"/>
      <w:lvlJc w:val="left"/>
      <w:pPr>
        <w:ind w:left="840" w:hanging="360"/>
        <w:jc w:val="left"/>
      </w:pPr>
      <w:rPr>
        <w:rFonts w:ascii="Arial" w:eastAsia="Arial" w:hAnsi="Arial" w:cs="Arial" w:hint="default"/>
        <w:spacing w:val="-1"/>
        <w:w w:val="100"/>
        <w:sz w:val="22"/>
        <w:szCs w:val="22"/>
        <w:lang w:val="en-AU" w:eastAsia="en-AU" w:bidi="en-AU"/>
      </w:rPr>
    </w:lvl>
    <w:lvl w:ilvl="1" w:tplc="265C0E2E">
      <w:numFmt w:val="bullet"/>
      <w:lvlText w:val="•"/>
      <w:lvlJc w:val="left"/>
      <w:pPr>
        <w:ind w:left="1691" w:hanging="360"/>
      </w:pPr>
      <w:rPr>
        <w:rFonts w:hint="default"/>
        <w:lang w:val="en-AU" w:eastAsia="en-AU" w:bidi="en-AU"/>
      </w:rPr>
    </w:lvl>
    <w:lvl w:ilvl="2" w:tplc="6D7CD05E">
      <w:numFmt w:val="bullet"/>
      <w:lvlText w:val="•"/>
      <w:lvlJc w:val="left"/>
      <w:pPr>
        <w:ind w:left="2542" w:hanging="360"/>
      </w:pPr>
      <w:rPr>
        <w:rFonts w:hint="default"/>
        <w:lang w:val="en-AU" w:eastAsia="en-AU" w:bidi="en-AU"/>
      </w:rPr>
    </w:lvl>
    <w:lvl w:ilvl="3" w:tplc="3A2274B0">
      <w:numFmt w:val="bullet"/>
      <w:lvlText w:val="•"/>
      <w:lvlJc w:val="left"/>
      <w:pPr>
        <w:ind w:left="3393" w:hanging="360"/>
      </w:pPr>
      <w:rPr>
        <w:rFonts w:hint="default"/>
        <w:lang w:val="en-AU" w:eastAsia="en-AU" w:bidi="en-AU"/>
      </w:rPr>
    </w:lvl>
    <w:lvl w:ilvl="4" w:tplc="F356ACC0">
      <w:numFmt w:val="bullet"/>
      <w:lvlText w:val="•"/>
      <w:lvlJc w:val="left"/>
      <w:pPr>
        <w:ind w:left="4244" w:hanging="360"/>
      </w:pPr>
      <w:rPr>
        <w:rFonts w:hint="default"/>
        <w:lang w:val="en-AU" w:eastAsia="en-AU" w:bidi="en-AU"/>
      </w:rPr>
    </w:lvl>
    <w:lvl w:ilvl="5" w:tplc="C9E27BAC">
      <w:numFmt w:val="bullet"/>
      <w:lvlText w:val="•"/>
      <w:lvlJc w:val="left"/>
      <w:pPr>
        <w:ind w:left="5095" w:hanging="360"/>
      </w:pPr>
      <w:rPr>
        <w:rFonts w:hint="default"/>
        <w:lang w:val="en-AU" w:eastAsia="en-AU" w:bidi="en-AU"/>
      </w:rPr>
    </w:lvl>
    <w:lvl w:ilvl="6" w:tplc="E10AFFEA">
      <w:numFmt w:val="bullet"/>
      <w:lvlText w:val="•"/>
      <w:lvlJc w:val="left"/>
      <w:pPr>
        <w:ind w:left="5946" w:hanging="360"/>
      </w:pPr>
      <w:rPr>
        <w:rFonts w:hint="default"/>
        <w:lang w:val="en-AU" w:eastAsia="en-AU" w:bidi="en-AU"/>
      </w:rPr>
    </w:lvl>
    <w:lvl w:ilvl="7" w:tplc="44666C62">
      <w:numFmt w:val="bullet"/>
      <w:lvlText w:val="•"/>
      <w:lvlJc w:val="left"/>
      <w:pPr>
        <w:ind w:left="6797" w:hanging="360"/>
      </w:pPr>
      <w:rPr>
        <w:rFonts w:hint="default"/>
        <w:lang w:val="en-AU" w:eastAsia="en-AU" w:bidi="en-AU"/>
      </w:rPr>
    </w:lvl>
    <w:lvl w:ilvl="8" w:tplc="47E6B8EE">
      <w:numFmt w:val="bullet"/>
      <w:lvlText w:val="•"/>
      <w:lvlJc w:val="left"/>
      <w:pPr>
        <w:ind w:left="7648" w:hanging="360"/>
      </w:pPr>
      <w:rPr>
        <w:rFonts w:hint="default"/>
        <w:lang w:val="en-AU" w:eastAsia="en-AU" w:bidi="en-AU"/>
      </w:rPr>
    </w:lvl>
  </w:abstractNum>
  <w:abstractNum w:abstractNumId="4" w15:restartNumberingAfterBreak="0">
    <w:nsid w:val="77607D7A"/>
    <w:multiLevelType w:val="multilevel"/>
    <w:tmpl w:val="1C0C4284"/>
    <w:lvl w:ilvl="0">
      <w:start w:val="1"/>
      <w:numFmt w:val="decimal"/>
      <w:lvlText w:val="%1)"/>
      <w:lvlJc w:val="left"/>
      <w:pPr>
        <w:ind w:left="360" w:hanging="360"/>
      </w:pPr>
    </w:lvl>
    <w:lvl w:ilvl="1">
      <w:start w:val="1"/>
      <w:numFmt w:val="lowerLetter"/>
      <w:lvlText w:val="(%2)"/>
      <w:lvlJc w:val="left"/>
      <w:pPr>
        <w:ind w:left="720" w:hanging="360"/>
      </w:pPr>
      <w:rPr>
        <w:rFonts w:ascii="Arial" w:eastAsia="Arial" w:hAnsi="Arial" w:cs="Arial" w:hint="default"/>
        <w:spacing w:val="-2"/>
        <w:w w:val="99"/>
        <w:sz w:val="22"/>
        <w:szCs w:val="22"/>
        <w:lang w:val="en-AU" w:eastAsia="en-AU" w:bidi="en-A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8833822">
    <w:abstractNumId w:val="3"/>
  </w:num>
  <w:num w:numId="2" w16cid:durableId="213547636">
    <w:abstractNumId w:val="0"/>
  </w:num>
  <w:num w:numId="3" w16cid:durableId="1764035785">
    <w:abstractNumId w:val="1"/>
  </w:num>
  <w:num w:numId="4" w16cid:durableId="1136873253">
    <w:abstractNumId w:val="2"/>
  </w:num>
  <w:num w:numId="5" w16cid:durableId="309359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A"/>
    <w:rsid w:val="001967FA"/>
    <w:rsid w:val="002148E9"/>
    <w:rsid w:val="00227C6F"/>
    <w:rsid w:val="00235128"/>
    <w:rsid w:val="003807EB"/>
    <w:rsid w:val="00430C5B"/>
    <w:rsid w:val="0046067B"/>
    <w:rsid w:val="004A481B"/>
    <w:rsid w:val="004A7CEE"/>
    <w:rsid w:val="004D1A27"/>
    <w:rsid w:val="004F5526"/>
    <w:rsid w:val="00540266"/>
    <w:rsid w:val="0057765D"/>
    <w:rsid w:val="005F7A8F"/>
    <w:rsid w:val="006D4166"/>
    <w:rsid w:val="007423EA"/>
    <w:rsid w:val="00772E58"/>
    <w:rsid w:val="008F0AB8"/>
    <w:rsid w:val="008F3BFE"/>
    <w:rsid w:val="0096036D"/>
    <w:rsid w:val="009851C3"/>
    <w:rsid w:val="009F2B42"/>
    <w:rsid w:val="00A92522"/>
    <w:rsid w:val="00A92D8A"/>
    <w:rsid w:val="00B169D0"/>
    <w:rsid w:val="00B27607"/>
    <w:rsid w:val="00B32C53"/>
    <w:rsid w:val="00BE46FA"/>
    <w:rsid w:val="00C52AE8"/>
    <w:rsid w:val="00C77C97"/>
    <w:rsid w:val="00C935D3"/>
    <w:rsid w:val="00D274E5"/>
    <w:rsid w:val="00D54749"/>
    <w:rsid w:val="00E00F91"/>
    <w:rsid w:val="00E23160"/>
    <w:rsid w:val="00E44817"/>
    <w:rsid w:val="00EA41E6"/>
    <w:rsid w:val="00F90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4C5A"/>
  <w15:docId w15:val="{E3903228-13C8-4C7B-9FDE-3AA7D6E1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1"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4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17"/>
    <w:rPr>
      <w:rFonts w:ascii="Segoe UI" w:eastAsia="Arial" w:hAnsi="Segoe UI" w:cs="Segoe UI"/>
      <w:sz w:val="18"/>
      <w:szCs w:val="18"/>
      <w:lang w:val="en-AU" w:eastAsia="en-AU" w:bidi="en-AU"/>
    </w:rPr>
  </w:style>
  <w:style w:type="paragraph" w:customStyle="1" w:styleId="Default">
    <w:name w:val="Default"/>
    <w:rsid w:val="00430C5B"/>
    <w:pPr>
      <w:widowControl/>
      <w:adjustRightInd w:val="0"/>
    </w:pPr>
    <w:rPr>
      <w:rFonts w:ascii="Calibri" w:hAnsi="Calibri" w:cs="Calibri"/>
      <w:color w:val="000000"/>
      <w:sz w:val="24"/>
      <w:szCs w:val="24"/>
      <w:lang w:val="en-AU"/>
    </w:rPr>
  </w:style>
  <w:style w:type="table" w:styleId="TableGrid">
    <w:name w:val="Table Grid"/>
    <w:basedOn w:val="TableNormal"/>
    <w:uiPriority w:val="59"/>
    <w:rsid w:val="00430C5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F91"/>
    <w:pPr>
      <w:tabs>
        <w:tab w:val="center" w:pos="4513"/>
        <w:tab w:val="right" w:pos="9026"/>
      </w:tabs>
    </w:pPr>
  </w:style>
  <w:style w:type="character" w:customStyle="1" w:styleId="HeaderChar">
    <w:name w:val="Header Char"/>
    <w:basedOn w:val="DefaultParagraphFont"/>
    <w:link w:val="Header"/>
    <w:uiPriority w:val="99"/>
    <w:rsid w:val="00E00F91"/>
    <w:rPr>
      <w:rFonts w:ascii="Arial" w:eastAsia="Arial" w:hAnsi="Arial" w:cs="Arial"/>
      <w:lang w:val="en-AU" w:eastAsia="en-AU" w:bidi="en-AU"/>
    </w:rPr>
  </w:style>
  <w:style w:type="paragraph" w:styleId="Footer">
    <w:name w:val="footer"/>
    <w:basedOn w:val="Normal"/>
    <w:link w:val="FooterChar"/>
    <w:uiPriority w:val="99"/>
    <w:unhideWhenUsed/>
    <w:rsid w:val="00E00F91"/>
    <w:pPr>
      <w:tabs>
        <w:tab w:val="center" w:pos="4513"/>
        <w:tab w:val="right" w:pos="9026"/>
      </w:tabs>
    </w:pPr>
  </w:style>
  <w:style w:type="character" w:customStyle="1" w:styleId="FooterChar">
    <w:name w:val="Footer Char"/>
    <w:basedOn w:val="DefaultParagraphFont"/>
    <w:link w:val="Footer"/>
    <w:uiPriority w:val="99"/>
    <w:rsid w:val="00E00F91"/>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B8D6F-39F5-496F-B45F-25A148FE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PG4 - NT Guidance - Loan and security agreements</dc:title>
  <dc:creator>Northern Territory Government</dc:creator>
  <cp:lastModifiedBy>Peter Kern</cp:lastModifiedBy>
  <cp:revision>6</cp:revision>
  <dcterms:created xsi:type="dcterms:W3CDTF">2025-08-05T23:30:00Z</dcterms:created>
  <dcterms:modified xsi:type="dcterms:W3CDTF">2025-12-02T21:54:00Z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2019-04-18T00:00:00Z</vt:filetime>
  </property>
</Properties>
</file>