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35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35"/>
      </w:tblGrid>
      <w:tr w:rsidR="00FE17B9" w:rsidRPr="00870EB2" w14:paraId="0AA41C8E" w14:textId="77777777" w:rsidTr="00876564">
        <w:tc>
          <w:tcPr>
            <w:tcW w:w="10235" w:type="dxa"/>
          </w:tcPr>
          <w:p w14:paraId="02978A5F" w14:textId="77777777" w:rsidR="00FE17B9" w:rsidRPr="00E349CD" w:rsidRDefault="00FE17B9" w:rsidP="00876564">
            <w:pPr>
              <w:spacing w:before="0" w:after="0"/>
              <w:ind w:right="53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349CD">
              <w:rPr>
                <w:rFonts w:asciiTheme="minorHAnsi" w:hAnsiTheme="minorHAnsi" w:cstheme="minorHAnsi"/>
                <w:b/>
                <w:sz w:val="28"/>
                <w:szCs w:val="28"/>
              </w:rPr>
              <w:t>GENERAL INFORMATION</w:t>
            </w:r>
          </w:p>
        </w:tc>
      </w:tr>
      <w:tr w:rsidR="00FE17B9" w:rsidRPr="00870EB2" w14:paraId="067F7E8E" w14:textId="77777777" w:rsidTr="00876564">
        <w:tc>
          <w:tcPr>
            <w:tcW w:w="10235" w:type="dxa"/>
          </w:tcPr>
          <w:p w14:paraId="54E83659" w14:textId="77777777" w:rsidR="00FE17B9" w:rsidRPr="00592ADE" w:rsidRDefault="00B804D0" w:rsidP="00E349CD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592ADE">
              <w:rPr>
                <w:rFonts w:asciiTheme="minorHAnsi" w:hAnsiTheme="minorHAnsi" w:cstheme="minorHAnsi"/>
                <w:sz w:val="24"/>
                <w:szCs w:val="24"/>
              </w:rPr>
              <w:t>This form is to notify the Pharmacy Premises Committee</w:t>
            </w:r>
            <w:r w:rsidR="003F1549" w:rsidRPr="00592AD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E349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3F1549" w:rsidRPr="00592ADE">
              <w:rPr>
                <w:rFonts w:asciiTheme="minorHAnsi" w:hAnsiTheme="minorHAnsi" w:cstheme="minorHAnsi"/>
                <w:sz w:val="24"/>
                <w:szCs w:val="24"/>
              </w:rPr>
              <w:t>Committee)</w:t>
            </w:r>
            <w:r w:rsidR="00C918A9" w:rsidRPr="00592ADE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870EB2" w:rsidRPr="00592ADE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467AA2" w:rsidRPr="00592ADE">
              <w:rPr>
                <w:rFonts w:asciiTheme="minorHAnsi" w:hAnsiTheme="minorHAnsi" w:cstheme="minorHAnsi"/>
                <w:sz w:val="24"/>
                <w:szCs w:val="24"/>
              </w:rPr>
              <w:t>closure of a pharmacy business</w:t>
            </w:r>
            <w:r w:rsidR="000B64F2">
              <w:rPr>
                <w:rFonts w:asciiTheme="minorHAnsi" w:hAnsiTheme="minorHAnsi" w:cstheme="minorHAnsi"/>
                <w:sz w:val="24"/>
                <w:szCs w:val="24"/>
              </w:rPr>
              <w:t>, professional services premises</w:t>
            </w:r>
            <w:r w:rsidR="00467AA2" w:rsidRPr="00592ADE">
              <w:rPr>
                <w:rFonts w:asciiTheme="minorHAnsi" w:hAnsiTheme="minorHAnsi" w:cstheme="minorHAnsi"/>
                <w:sz w:val="24"/>
                <w:szCs w:val="24"/>
              </w:rPr>
              <w:t xml:space="preserve"> or a pharmacy department in the Northern Territory</w:t>
            </w:r>
            <w:r w:rsidR="0095273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B79DF18" w14:textId="77777777" w:rsidR="003F1549" w:rsidRPr="00E349CD" w:rsidRDefault="00C918A9" w:rsidP="00E349CD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92ADE">
              <w:rPr>
                <w:rFonts w:asciiTheme="minorHAnsi" w:hAnsiTheme="minorHAnsi" w:cstheme="minorHAnsi"/>
                <w:sz w:val="24"/>
                <w:szCs w:val="24"/>
              </w:rPr>
              <w:t xml:space="preserve">All </w:t>
            </w:r>
            <w:r w:rsidR="00467AA2" w:rsidRPr="00592ADE">
              <w:rPr>
                <w:rFonts w:asciiTheme="minorHAnsi" w:hAnsiTheme="minorHAnsi" w:cstheme="minorHAnsi"/>
                <w:sz w:val="24"/>
                <w:szCs w:val="24"/>
              </w:rPr>
              <w:t>parts</w:t>
            </w:r>
            <w:r w:rsidRPr="00592ADE">
              <w:rPr>
                <w:rFonts w:asciiTheme="minorHAnsi" w:hAnsiTheme="minorHAnsi" w:cstheme="minorHAnsi"/>
                <w:sz w:val="24"/>
                <w:szCs w:val="24"/>
              </w:rPr>
              <w:t xml:space="preserve"> of the form must be completed</w:t>
            </w:r>
            <w:r w:rsidR="00467AA2" w:rsidRPr="00592AD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70EB2" w:rsidRPr="00592AD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3D70866B" w14:textId="77777777" w:rsidR="00E349CD" w:rsidRPr="00037C38" w:rsidRDefault="00E349CD" w:rsidP="00E349CD">
            <w:pPr>
              <w:numPr>
                <w:ilvl w:val="0"/>
                <w:numId w:val="1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Committee Registrar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0E18386" w14:textId="77777777" w:rsidR="00B804D0" w:rsidRPr="00E349CD" w:rsidRDefault="00E349CD" w:rsidP="00E349CD">
            <w:pPr>
              <w:numPr>
                <w:ilvl w:val="1"/>
                <w:numId w:val="1"/>
              </w:numPr>
              <w:spacing w:before="0"/>
              <w:ind w:left="885" w:right="6" w:hanging="42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8536B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7" w:history="1">
              <w:r w:rsidRPr="007A35C7">
                <w:rPr>
                  <w:rStyle w:val="Hyperlink"/>
                  <w:rFonts w:asciiTheme="minorHAnsi" w:hAnsiTheme="minorHAnsi" w:cstheme="minorHAnsi"/>
                  <w:color w:val="0070C0"/>
                  <w:sz w:val="24"/>
                  <w:szCs w:val="24"/>
                </w:rPr>
                <w:t>ppcregistrar@nt.gov.au</w:t>
              </w:r>
            </w:hyperlink>
          </w:p>
        </w:tc>
      </w:tr>
    </w:tbl>
    <w:p w14:paraId="6426BD03" w14:textId="77777777" w:rsidR="00467AA2" w:rsidRPr="00C676BC" w:rsidRDefault="00467AA2" w:rsidP="00C676BC">
      <w:pPr>
        <w:spacing w:before="0" w:after="0"/>
        <w:ind w:left="-624"/>
        <w:rPr>
          <w:rFonts w:asciiTheme="minorHAnsi" w:hAnsiTheme="minorHAnsi" w:cstheme="minorHAnsi"/>
          <w:sz w:val="12"/>
          <w:szCs w:val="12"/>
        </w:rPr>
      </w:pPr>
    </w:p>
    <w:p w14:paraId="3D2E1B78" w14:textId="77777777" w:rsidR="00FD78DA" w:rsidRDefault="00FD78DA" w:rsidP="00FD78DA">
      <w:pPr>
        <w:spacing w:before="0"/>
        <w:ind w:left="-624"/>
        <w:rPr>
          <w:rFonts w:asciiTheme="minorHAnsi" w:hAnsiTheme="minorHAnsi" w:cstheme="minorHAnsi"/>
          <w:b/>
          <w:sz w:val="28"/>
          <w:szCs w:val="28"/>
        </w:rPr>
      </w:pPr>
      <w:r w:rsidRPr="00E349CD">
        <w:rPr>
          <w:rFonts w:asciiTheme="minorHAnsi" w:hAnsiTheme="minorHAnsi" w:cstheme="minorHAnsi"/>
          <w:b/>
          <w:sz w:val="28"/>
          <w:szCs w:val="28"/>
        </w:rPr>
        <w:t>DECLARATION NOTICE OF CLOSURE</w:t>
      </w:r>
    </w:p>
    <w:p w14:paraId="2CE09C58" w14:textId="77777777" w:rsidR="00E349CD" w:rsidRPr="00E349CD" w:rsidRDefault="00E349CD" w:rsidP="00FD78DA">
      <w:pPr>
        <w:spacing w:before="0"/>
        <w:ind w:left="-624"/>
        <w:rPr>
          <w:rFonts w:asciiTheme="minorHAnsi" w:hAnsiTheme="minorHAnsi" w:cstheme="minorHAnsi"/>
          <w:b/>
          <w:sz w:val="28"/>
          <w:szCs w:val="28"/>
        </w:rPr>
      </w:pPr>
    </w:p>
    <w:p w14:paraId="3FDA95F7" w14:textId="77777777" w:rsidR="00592ADE" w:rsidRDefault="00467AA2" w:rsidP="00707E8E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Details of pharmacy: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Pharmacy Business</w:t>
      </w:r>
      <w:r w:rsidR="00592ADE">
        <w:rPr>
          <w:rFonts w:asciiTheme="minorHAnsi" w:hAnsiTheme="minorHAnsi" w:cstheme="minorHAnsi"/>
          <w:sz w:val="24"/>
        </w:rPr>
        <w:t xml:space="preserve"> </w:t>
      </w:r>
    </w:p>
    <w:p w14:paraId="3FB7EED6" w14:textId="77777777" w:rsidR="00592ADE" w:rsidRDefault="000B64F2" w:rsidP="000B64F2">
      <w:pPr>
        <w:spacing w:before="0"/>
        <w:ind w:left="-624"/>
        <w:rPr>
          <w:rFonts w:asciiTheme="minorHAnsi" w:hAnsiTheme="minorHAnsi" w:cstheme="minorHAnsi"/>
          <w:sz w:val="24"/>
        </w:rPr>
      </w:pPr>
      <w:r w:rsidRPr="000B64F2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 w:rsidRPr="000B64F2">
        <w:rPr>
          <w:rFonts w:asciiTheme="minorHAnsi" w:hAnsiTheme="minorHAnsi" w:cstheme="minorHAnsi"/>
          <w:i/>
          <w:sz w:val="18"/>
          <w:szCs w:val="18"/>
        </w:rPr>
        <w:t>please</w:t>
      </w:r>
      <w:proofErr w:type="gramEnd"/>
      <w:r w:rsidRPr="000B64F2">
        <w:rPr>
          <w:rFonts w:asciiTheme="minorHAnsi" w:hAnsiTheme="minorHAnsi" w:cstheme="minorHAnsi"/>
          <w:i/>
          <w:sz w:val="18"/>
          <w:szCs w:val="18"/>
        </w:rPr>
        <w:t xml:space="preserve"> circle one)</w:t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="00592ADE">
        <w:rPr>
          <w:rFonts w:asciiTheme="minorHAnsi" w:hAnsiTheme="minorHAnsi" w:cstheme="minorHAnsi"/>
          <w:sz w:val="24"/>
        </w:rPr>
        <w:t>Professional Services Premises</w:t>
      </w:r>
    </w:p>
    <w:p w14:paraId="0E5253DF" w14:textId="77777777" w:rsidR="00707E8E" w:rsidRDefault="00592ADE" w:rsidP="00592ADE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707E8E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467AA2">
        <w:rPr>
          <w:rFonts w:asciiTheme="minorHAnsi" w:hAnsiTheme="minorHAnsi" w:cstheme="minorHAnsi"/>
          <w:sz w:val="24"/>
        </w:rPr>
        <w:t>Pharmacy Department</w:t>
      </w:r>
    </w:p>
    <w:p w14:paraId="07685A79" w14:textId="77777777" w:rsidR="00467AA2" w:rsidRDefault="00467AA2" w:rsidP="00FD78DA">
      <w:pPr>
        <w:spacing w:before="0"/>
        <w:ind w:left="-624"/>
        <w:rPr>
          <w:rFonts w:asciiTheme="minorHAnsi" w:hAnsiTheme="minorHAnsi" w:cstheme="minorHAnsi"/>
          <w:sz w:val="24"/>
        </w:rPr>
      </w:pPr>
    </w:p>
    <w:p w14:paraId="496379DF" w14:textId="77777777" w:rsidR="00467AA2" w:rsidRDefault="00467AA2" w:rsidP="00FD78DA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Name:</w:t>
      </w:r>
      <w:r w:rsidR="00E349CD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___________________________________</w:t>
      </w:r>
    </w:p>
    <w:p w14:paraId="08473668" w14:textId="77777777" w:rsidR="0023181A" w:rsidRPr="000B64F2" w:rsidRDefault="0023181A" w:rsidP="00FD78DA">
      <w:pPr>
        <w:spacing w:before="0"/>
        <w:ind w:left="-624"/>
        <w:rPr>
          <w:rFonts w:asciiTheme="minorHAnsi" w:hAnsiTheme="minorHAnsi" w:cstheme="minorHAnsi"/>
          <w:sz w:val="12"/>
          <w:szCs w:val="12"/>
        </w:rPr>
      </w:pPr>
    </w:p>
    <w:p w14:paraId="2EFEF7D1" w14:textId="77777777" w:rsidR="00FD78DA" w:rsidRDefault="0023181A" w:rsidP="00FD78DA">
      <w:pPr>
        <w:spacing w:before="0"/>
        <w:ind w:left="-624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a</w:t>
      </w:r>
      <w:r w:rsidR="00FD78DA">
        <w:rPr>
          <w:rFonts w:asciiTheme="minorHAnsi" w:hAnsiTheme="minorHAnsi" w:cstheme="minorHAnsi"/>
          <w:sz w:val="24"/>
        </w:rPr>
        <w:t>t</w:t>
      </w:r>
      <w:proofErr w:type="gramEnd"/>
      <w:r>
        <w:rPr>
          <w:rFonts w:asciiTheme="minorHAnsi" w:hAnsiTheme="minorHAnsi" w:cstheme="minorHAnsi"/>
          <w:sz w:val="24"/>
        </w:rPr>
        <w:t xml:space="preserve"> (address)</w:t>
      </w:r>
      <w:r w:rsidR="00FD78DA">
        <w:rPr>
          <w:rFonts w:asciiTheme="minorHAnsi" w:hAnsiTheme="minorHAnsi" w:cstheme="minorHAnsi"/>
          <w:sz w:val="24"/>
        </w:rPr>
        <w:t>:</w:t>
      </w:r>
      <w:r w:rsidR="00467AA2">
        <w:rPr>
          <w:rFonts w:asciiTheme="minorHAnsi" w:hAnsiTheme="minorHAnsi" w:cstheme="minorHAnsi"/>
          <w:sz w:val="24"/>
        </w:rPr>
        <w:tab/>
      </w:r>
      <w:r w:rsidR="00FD78DA">
        <w:rPr>
          <w:rFonts w:asciiTheme="minorHAnsi" w:hAnsiTheme="minorHAnsi" w:cstheme="minorHAnsi"/>
          <w:sz w:val="24"/>
        </w:rPr>
        <w:tab/>
      </w:r>
      <w:r w:rsidR="00FD78DA">
        <w:rPr>
          <w:rFonts w:asciiTheme="minorHAnsi" w:hAnsiTheme="minorHAnsi" w:cstheme="minorHAnsi"/>
          <w:sz w:val="24"/>
        </w:rPr>
        <w:tab/>
      </w:r>
      <w:r w:rsidR="00FD78DA">
        <w:rPr>
          <w:rFonts w:asciiTheme="minorHAnsi" w:hAnsiTheme="minorHAnsi" w:cstheme="minorHAnsi"/>
          <w:sz w:val="24"/>
        </w:rPr>
        <w:tab/>
        <w:t>___________________________________</w:t>
      </w:r>
    </w:p>
    <w:p w14:paraId="0675E412" w14:textId="77777777" w:rsidR="00467AA2" w:rsidRDefault="00467AA2" w:rsidP="00FD78DA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  <w:t>___________________________________</w:t>
      </w:r>
    </w:p>
    <w:p w14:paraId="73BB4387" w14:textId="77777777" w:rsidR="0023181A" w:rsidRDefault="0023181A" w:rsidP="00FD78DA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___________________________________</w:t>
      </w:r>
    </w:p>
    <w:p w14:paraId="721A8CB3" w14:textId="77777777" w:rsidR="00FD78DA" w:rsidRDefault="00FD78DA" w:rsidP="00FD78DA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14:paraId="7F949633" w14:textId="77777777" w:rsidR="00C676BC" w:rsidRPr="00ED337E" w:rsidRDefault="0023181A" w:rsidP="00C676BC">
      <w:pPr>
        <w:spacing w:before="0" w:after="0"/>
        <w:ind w:left="-624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w</w:t>
      </w:r>
      <w:r w:rsidR="00FD78DA">
        <w:rPr>
          <w:rFonts w:asciiTheme="minorHAnsi" w:hAnsiTheme="minorHAnsi" w:cstheme="minorHAnsi"/>
          <w:sz w:val="24"/>
        </w:rPr>
        <w:t>ill</w:t>
      </w:r>
      <w:proofErr w:type="gramEnd"/>
      <w:r w:rsidR="00FD78DA">
        <w:rPr>
          <w:rFonts w:asciiTheme="minorHAnsi" w:hAnsiTheme="minorHAnsi" w:cstheme="minorHAnsi"/>
          <w:sz w:val="24"/>
        </w:rPr>
        <w:t xml:space="preserve"> be </w:t>
      </w:r>
      <w:r w:rsidR="00624B25" w:rsidRPr="00ED337E">
        <w:rPr>
          <w:rFonts w:asciiTheme="minorHAnsi" w:hAnsiTheme="minorHAnsi" w:cstheme="minorHAnsi"/>
          <w:sz w:val="24"/>
        </w:rPr>
        <w:t>permanently / temporarily</w:t>
      </w:r>
      <w:r w:rsidR="00624B25" w:rsidRPr="00ED337E">
        <w:rPr>
          <w:rFonts w:asciiTheme="minorHAnsi" w:hAnsiTheme="minorHAnsi" w:cstheme="minorHAnsi"/>
          <w:sz w:val="24"/>
        </w:rPr>
        <w:tab/>
      </w:r>
      <w:r w:rsidR="00624B25" w:rsidRPr="00ED337E">
        <w:rPr>
          <w:rFonts w:asciiTheme="minorHAnsi" w:hAnsiTheme="minorHAnsi" w:cstheme="minorHAnsi"/>
          <w:sz w:val="24"/>
        </w:rPr>
        <w:tab/>
      </w:r>
      <w:r w:rsidR="00FD78DA" w:rsidRPr="00ED337E">
        <w:rPr>
          <w:rFonts w:asciiTheme="minorHAnsi" w:hAnsiTheme="minorHAnsi" w:cstheme="minorHAnsi"/>
          <w:sz w:val="24"/>
        </w:rPr>
        <w:tab/>
      </w:r>
    </w:p>
    <w:p w14:paraId="02532761" w14:textId="77777777" w:rsidR="00C676BC" w:rsidRPr="00ED337E" w:rsidRDefault="00C676BC" w:rsidP="00C676BC">
      <w:pPr>
        <w:spacing w:before="0"/>
        <w:ind w:left="-624"/>
        <w:rPr>
          <w:rFonts w:asciiTheme="minorHAnsi" w:hAnsiTheme="minorHAnsi" w:cstheme="minorHAnsi"/>
          <w:sz w:val="24"/>
        </w:rPr>
      </w:pPr>
      <w:proofErr w:type="gramStart"/>
      <w:r w:rsidRPr="00ED337E">
        <w:rPr>
          <w:rFonts w:asciiTheme="minorHAnsi" w:hAnsiTheme="minorHAnsi" w:cstheme="minorHAnsi"/>
          <w:sz w:val="24"/>
        </w:rPr>
        <w:t>closed</w:t>
      </w:r>
      <w:proofErr w:type="gramEnd"/>
      <w:r w:rsidRPr="00ED337E">
        <w:rPr>
          <w:rFonts w:asciiTheme="minorHAnsi" w:hAnsiTheme="minorHAnsi" w:cstheme="minorHAnsi"/>
          <w:sz w:val="24"/>
        </w:rPr>
        <w:t xml:space="preserve"> on:</w:t>
      </w:r>
      <w:r w:rsidR="00FD78DA" w:rsidRPr="00ED337E">
        <w:rPr>
          <w:rFonts w:asciiTheme="minorHAnsi" w:hAnsiTheme="minorHAnsi" w:cstheme="minorHAnsi"/>
          <w:sz w:val="24"/>
        </w:rPr>
        <w:tab/>
      </w:r>
      <w:r w:rsidRPr="00ED337E">
        <w:rPr>
          <w:rFonts w:asciiTheme="minorHAnsi" w:hAnsiTheme="minorHAnsi" w:cstheme="minorHAnsi"/>
          <w:sz w:val="24"/>
        </w:rPr>
        <w:tab/>
      </w:r>
      <w:r w:rsidRPr="00ED337E">
        <w:rPr>
          <w:rFonts w:asciiTheme="minorHAnsi" w:hAnsiTheme="minorHAnsi" w:cstheme="minorHAnsi"/>
          <w:sz w:val="24"/>
        </w:rPr>
        <w:tab/>
      </w:r>
      <w:r w:rsidRPr="00ED337E">
        <w:rPr>
          <w:rFonts w:asciiTheme="minorHAnsi" w:hAnsiTheme="minorHAnsi" w:cstheme="minorHAnsi"/>
          <w:sz w:val="24"/>
        </w:rPr>
        <w:tab/>
        <w:t>______/_______/__________</w:t>
      </w:r>
    </w:p>
    <w:p w14:paraId="4B1A69A9" w14:textId="77777777" w:rsidR="00C676BC" w:rsidRPr="00ED337E" w:rsidRDefault="00C676BC" w:rsidP="00FD78DA">
      <w:pPr>
        <w:spacing w:before="0"/>
        <w:ind w:left="-624"/>
        <w:rPr>
          <w:rFonts w:asciiTheme="minorHAnsi" w:hAnsiTheme="minorHAnsi" w:cstheme="minorHAnsi"/>
          <w:sz w:val="24"/>
        </w:rPr>
      </w:pPr>
    </w:p>
    <w:p w14:paraId="4F5465CB" w14:textId="77777777" w:rsidR="00C676BC" w:rsidRPr="00ED337E" w:rsidRDefault="00C676BC" w:rsidP="00FD78DA">
      <w:pPr>
        <w:spacing w:before="0"/>
        <w:ind w:left="-624"/>
        <w:rPr>
          <w:rFonts w:asciiTheme="minorHAnsi" w:hAnsiTheme="minorHAnsi" w:cstheme="minorHAnsi"/>
          <w:sz w:val="24"/>
        </w:rPr>
      </w:pPr>
      <w:r w:rsidRPr="00ED337E">
        <w:rPr>
          <w:rFonts w:asciiTheme="minorHAnsi" w:hAnsiTheme="minorHAnsi" w:cstheme="minorHAnsi"/>
          <w:sz w:val="24"/>
        </w:rPr>
        <w:t>If temporary, please advise the</w:t>
      </w:r>
    </w:p>
    <w:p w14:paraId="73D1EEB7" w14:textId="77777777" w:rsidR="00C676BC" w:rsidRPr="00ED337E" w:rsidRDefault="00C676BC" w:rsidP="00C676BC">
      <w:pPr>
        <w:spacing w:before="0"/>
        <w:ind w:left="-624"/>
        <w:rPr>
          <w:rFonts w:asciiTheme="minorHAnsi" w:hAnsiTheme="minorHAnsi" w:cstheme="minorHAnsi"/>
          <w:sz w:val="24"/>
        </w:rPr>
      </w:pPr>
      <w:r w:rsidRPr="00ED337E">
        <w:rPr>
          <w:rFonts w:asciiTheme="minorHAnsi" w:hAnsiTheme="minorHAnsi" w:cstheme="minorHAnsi"/>
          <w:sz w:val="24"/>
        </w:rPr>
        <w:t>Proposed opening date:</w:t>
      </w:r>
      <w:r w:rsidRPr="00ED337E">
        <w:rPr>
          <w:rFonts w:asciiTheme="minorHAnsi" w:hAnsiTheme="minorHAnsi" w:cstheme="minorHAnsi"/>
          <w:sz w:val="24"/>
        </w:rPr>
        <w:tab/>
      </w:r>
      <w:r w:rsidRPr="00ED337E">
        <w:rPr>
          <w:rFonts w:asciiTheme="minorHAnsi" w:hAnsiTheme="minorHAnsi" w:cstheme="minorHAnsi"/>
          <w:sz w:val="24"/>
        </w:rPr>
        <w:tab/>
        <w:t>______/_______/__________</w:t>
      </w:r>
    </w:p>
    <w:p w14:paraId="57BFD7BE" w14:textId="77777777" w:rsidR="00FD78DA" w:rsidRDefault="00FD78DA" w:rsidP="00FD78DA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14:paraId="75C47833" w14:textId="77777777" w:rsidR="00467AA2" w:rsidRPr="000B64F2" w:rsidRDefault="00467AA2" w:rsidP="00467AA2">
      <w:pPr>
        <w:spacing w:before="0"/>
        <w:ind w:left="-624"/>
        <w:rPr>
          <w:rFonts w:asciiTheme="minorHAnsi" w:hAnsiTheme="minorHAnsi" w:cstheme="minorHAnsi"/>
          <w:sz w:val="12"/>
          <w:szCs w:val="12"/>
        </w:rPr>
      </w:pPr>
    </w:p>
    <w:p w14:paraId="0D44371D" w14:textId="77777777" w:rsidR="00467AA2" w:rsidRDefault="00467AA2" w:rsidP="00467AA2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Signature of Person: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___________________________________</w:t>
      </w:r>
      <w:r>
        <w:rPr>
          <w:rFonts w:asciiTheme="minorHAnsi" w:hAnsiTheme="minorHAnsi" w:cstheme="minorHAnsi"/>
          <w:sz w:val="24"/>
        </w:rPr>
        <w:tab/>
      </w:r>
    </w:p>
    <w:p w14:paraId="0D030D4F" w14:textId="77777777" w:rsidR="00467AA2" w:rsidRDefault="00467AA2" w:rsidP="00FD78DA">
      <w:pPr>
        <w:spacing w:before="0"/>
        <w:ind w:left="-624"/>
        <w:rPr>
          <w:rFonts w:asciiTheme="minorHAnsi" w:hAnsiTheme="minorHAnsi" w:cstheme="minorHAnsi"/>
          <w:sz w:val="24"/>
        </w:rPr>
      </w:pPr>
    </w:p>
    <w:p w14:paraId="492244E6" w14:textId="77777777" w:rsidR="00FD78DA" w:rsidRDefault="00FD78DA" w:rsidP="00FD78DA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Name of person: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___________________________________</w:t>
      </w:r>
    </w:p>
    <w:p w14:paraId="42BA040C" w14:textId="77777777" w:rsidR="0023181A" w:rsidRPr="0023181A" w:rsidRDefault="00FD78DA" w:rsidP="00FD78DA">
      <w:pPr>
        <w:spacing w:before="0"/>
        <w:ind w:left="-624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14:paraId="753A07B0" w14:textId="77777777" w:rsidR="00467AA2" w:rsidRDefault="0023181A" w:rsidP="00FD78DA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Date of declaration:</w:t>
      </w:r>
      <w:r w:rsidRPr="0023181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______/_______/</w:t>
      </w:r>
      <w:r w:rsidR="00BD5879">
        <w:rPr>
          <w:rFonts w:asciiTheme="minorHAnsi" w:hAnsiTheme="minorHAnsi" w:cstheme="minorHAnsi"/>
          <w:sz w:val="24"/>
        </w:rPr>
        <w:t>__________</w:t>
      </w:r>
    </w:p>
    <w:p w14:paraId="4E45E824" w14:textId="77777777" w:rsidR="0023181A" w:rsidRDefault="0023181A" w:rsidP="00FD78DA">
      <w:pPr>
        <w:spacing w:before="0"/>
        <w:ind w:left="-624"/>
        <w:rPr>
          <w:rFonts w:asciiTheme="minorHAnsi" w:hAnsiTheme="minorHAnsi" w:cstheme="minorHAnsi"/>
          <w:sz w:val="24"/>
        </w:rPr>
      </w:pPr>
    </w:p>
    <w:p w14:paraId="6AE79AFF" w14:textId="77777777" w:rsidR="00FE17B9" w:rsidRDefault="00467AA2" w:rsidP="00467AA2">
      <w:pPr>
        <w:spacing w:before="0"/>
        <w:ind w:left="-62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Relationship to pharmacy: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___________________________________</w:t>
      </w:r>
    </w:p>
    <w:p w14:paraId="6644D53B" w14:textId="2124759C" w:rsidR="00C676BC" w:rsidRDefault="0023181A" w:rsidP="00E349CD">
      <w:pPr>
        <w:spacing w:before="0"/>
        <w:ind w:left="-62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23181A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 w:rsidR="00390A7B">
        <w:rPr>
          <w:rFonts w:asciiTheme="minorHAnsi" w:hAnsiTheme="minorHAnsi" w:cstheme="minorHAnsi"/>
          <w:i/>
          <w:sz w:val="18"/>
          <w:szCs w:val="18"/>
        </w:rPr>
        <w:t>p</w:t>
      </w:r>
      <w:r w:rsidR="00390A7B" w:rsidRPr="0023181A">
        <w:rPr>
          <w:rFonts w:asciiTheme="minorHAnsi" w:hAnsiTheme="minorHAnsi" w:cstheme="minorHAnsi"/>
          <w:i/>
          <w:sz w:val="18"/>
          <w:szCs w:val="18"/>
        </w:rPr>
        <w:t>roprietor</w:t>
      </w:r>
      <w:r w:rsidRPr="0023181A">
        <w:rPr>
          <w:rFonts w:asciiTheme="minorHAnsi" w:hAnsiTheme="minorHAnsi" w:cstheme="minorHAnsi"/>
          <w:i/>
          <w:sz w:val="18"/>
          <w:szCs w:val="18"/>
        </w:rPr>
        <w:t>/legal</w:t>
      </w:r>
      <w:proofErr w:type="gramEnd"/>
      <w:r w:rsidR="00390A7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3181A">
        <w:rPr>
          <w:rFonts w:asciiTheme="minorHAnsi" w:hAnsiTheme="minorHAnsi" w:cstheme="minorHAnsi"/>
          <w:i/>
          <w:sz w:val="18"/>
          <w:szCs w:val="18"/>
        </w:rPr>
        <w:t>representative etc.)</w:t>
      </w:r>
      <w:r w:rsidR="00C676BC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79B52C45" w14:textId="77777777" w:rsidR="0030552E" w:rsidRPr="00ED337E" w:rsidRDefault="0030552E" w:rsidP="00E349CD">
      <w:pPr>
        <w:spacing w:before="0"/>
        <w:ind w:left="-624"/>
        <w:rPr>
          <w:rFonts w:asciiTheme="minorHAnsi" w:hAnsiTheme="minorHAnsi" w:cstheme="minorHAnsi"/>
          <w:b/>
          <w:sz w:val="28"/>
          <w:szCs w:val="28"/>
        </w:rPr>
      </w:pPr>
      <w:r w:rsidRPr="00ED337E">
        <w:rPr>
          <w:rFonts w:asciiTheme="minorHAnsi" w:hAnsiTheme="minorHAnsi" w:cstheme="minorHAnsi"/>
          <w:b/>
          <w:sz w:val="28"/>
          <w:szCs w:val="28"/>
        </w:rPr>
        <w:lastRenderedPageBreak/>
        <w:t xml:space="preserve">APPENDIX: GUIDELINE FOR CLOSURE OF A PHARMACY </w:t>
      </w:r>
    </w:p>
    <w:p w14:paraId="36704C3A" w14:textId="77777777" w:rsidR="0030552E" w:rsidRPr="00ED337E" w:rsidRDefault="0030552E" w:rsidP="0030552E">
      <w:pPr>
        <w:pStyle w:val="ListParagraph"/>
        <w:numPr>
          <w:ilvl w:val="0"/>
          <w:numId w:val="11"/>
        </w:numPr>
        <w:spacing w:before="0"/>
        <w:rPr>
          <w:rFonts w:asciiTheme="minorHAnsi" w:hAnsiTheme="minorHAnsi" w:cstheme="minorHAnsi"/>
          <w:b/>
          <w:sz w:val="28"/>
          <w:szCs w:val="28"/>
        </w:rPr>
      </w:pPr>
      <w:r w:rsidRPr="00ED337E">
        <w:rPr>
          <w:rFonts w:asciiTheme="minorHAnsi" w:hAnsiTheme="minorHAnsi" w:cstheme="minorHAnsi"/>
          <w:b/>
          <w:sz w:val="28"/>
          <w:szCs w:val="28"/>
        </w:rPr>
        <w:t>Prior to Closure</w:t>
      </w:r>
      <w:r w:rsidR="00A85AC4" w:rsidRPr="00ED337E">
        <w:rPr>
          <w:rFonts w:asciiTheme="minorHAnsi" w:hAnsiTheme="minorHAnsi" w:cstheme="minorHAnsi"/>
          <w:b/>
          <w:sz w:val="28"/>
          <w:szCs w:val="28"/>
        </w:rPr>
        <w:t xml:space="preserve"> of the Pharmacy</w:t>
      </w:r>
    </w:p>
    <w:p w14:paraId="0D291BF9" w14:textId="77777777" w:rsidR="0030552E" w:rsidRPr="00ED337E" w:rsidRDefault="0030552E" w:rsidP="00624B25">
      <w:pPr>
        <w:tabs>
          <w:tab w:val="left" w:pos="5529"/>
        </w:tabs>
        <w:spacing w:before="0"/>
        <w:ind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 xml:space="preserve">Consideration must be given to the following when a pharmacy </w:t>
      </w:r>
      <w:r w:rsidR="00EA6112" w:rsidRPr="00ED337E">
        <w:rPr>
          <w:rFonts w:asciiTheme="minorHAnsi" w:hAnsiTheme="minorHAnsi" w:cstheme="minorHAnsi"/>
          <w:sz w:val="24"/>
          <w:szCs w:val="24"/>
        </w:rPr>
        <w:t>is</w:t>
      </w:r>
      <w:r w:rsidRPr="00ED337E">
        <w:rPr>
          <w:rFonts w:asciiTheme="minorHAnsi" w:hAnsiTheme="minorHAnsi" w:cstheme="minorHAnsi"/>
          <w:sz w:val="24"/>
          <w:szCs w:val="24"/>
        </w:rPr>
        <w:t xml:space="preserve"> scheduled to close:</w:t>
      </w:r>
    </w:p>
    <w:p w14:paraId="7D22DD32" w14:textId="25A0B554" w:rsidR="0030552E" w:rsidRPr="007A35C7" w:rsidRDefault="0030552E" w:rsidP="007A35C7">
      <w:pPr>
        <w:pStyle w:val="ListParagraph"/>
        <w:numPr>
          <w:ilvl w:val="0"/>
          <w:numId w:val="12"/>
        </w:numPr>
        <w:spacing w:after="0"/>
        <w:ind w:left="0" w:hanging="567"/>
        <w:rPr>
          <w:rFonts w:asciiTheme="minorHAnsi" w:hAnsiTheme="minorHAnsi" w:cstheme="minorHAnsi"/>
          <w:color w:val="0070C0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Storage of pharmacy records</w:t>
      </w:r>
      <w:r w:rsidR="00C36029" w:rsidRPr="00ED337E">
        <w:rPr>
          <w:rFonts w:asciiTheme="minorHAnsi" w:hAnsiTheme="minorHAnsi" w:cstheme="minorHAnsi"/>
          <w:sz w:val="24"/>
          <w:szCs w:val="24"/>
        </w:rPr>
        <w:t xml:space="preserve"> </w:t>
      </w:r>
      <w:r w:rsidRPr="00ED337E">
        <w:rPr>
          <w:rFonts w:asciiTheme="minorHAnsi" w:hAnsiTheme="minorHAnsi" w:cstheme="minorHAnsi"/>
          <w:sz w:val="24"/>
          <w:szCs w:val="24"/>
        </w:rPr>
        <w:t xml:space="preserve">– </w:t>
      </w:r>
      <w:r w:rsidR="00C1070B" w:rsidRPr="00ED337E">
        <w:rPr>
          <w:rFonts w:asciiTheme="minorHAnsi" w:hAnsiTheme="minorHAnsi" w:cstheme="minorHAnsi"/>
          <w:sz w:val="24"/>
          <w:szCs w:val="24"/>
        </w:rPr>
        <w:t>The proprietor must now consider where and how these records are to be stored to meet this legislative requirement</w:t>
      </w:r>
      <w:r w:rsidR="007A35C7" w:rsidRPr="00ED337E">
        <w:rPr>
          <w:rFonts w:asciiTheme="minorHAnsi" w:hAnsiTheme="minorHAnsi" w:cstheme="minorHAnsi"/>
          <w:sz w:val="24"/>
          <w:szCs w:val="24"/>
        </w:rPr>
        <w:t xml:space="preserve"> that</w:t>
      </w:r>
      <w:r w:rsidR="00C1070B" w:rsidRPr="00ED337E">
        <w:rPr>
          <w:rFonts w:asciiTheme="minorHAnsi" w:hAnsiTheme="minorHAnsi" w:cstheme="minorHAnsi"/>
          <w:sz w:val="24"/>
          <w:szCs w:val="24"/>
        </w:rPr>
        <w:t xml:space="preserve"> </w:t>
      </w:r>
      <w:r w:rsidRPr="00ED337E">
        <w:rPr>
          <w:rFonts w:asciiTheme="minorHAnsi" w:hAnsiTheme="minorHAnsi" w:cstheme="minorHAnsi"/>
          <w:sz w:val="24"/>
          <w:szCs w:val="24"/>
        </w:rPr>
        <w:t>prescription records must be held for 2 years. Records may be paper based or in an electronic format and must be able to be accessed if required to do so – MPTG-R Regulation 72</w:t>
      </w:r>
      <w:r w:rsidR="009415B0" w:rsidRPr="00ED337E">
        <w:rPr>
          <w:rFonts w:asciiTheme="minorHAnsi" w:hAnsiTheme="minorHAnsi" w:cstheme="minorHAnsi"/>
          <w:sz w:val="24"/>
          <w:szCs w:val="24"/>
        </w:rPr>
        <w:t xml:space="preserve">: </w:t>
      </w:r>
      <w:hyperlink r:id="rId8" w:history="1">
        <w:r w:rsidR="009415B0" w:rsidRPr="007A35C7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Legislation MPTG-R 2012 (nt.gov.au)</w:t>
        </w:r>
      </w:hyperlink>
      <w:r w:rsidR="00624B25" w:rsidRPr="007A35C7">
        <w:rPr>
          <w:rFonts w:asciiTheme="minorHAnsi" w:hAnsiTheme="minorHAnsi" w:cstheme="minorHAnsi"/>
          <w:color w:val="FF0000"/>
          <w:sz w:val="24"/>
          <w:szCs w:val="24"/>
        </w:rPr>
        <w:t>.</w:t>
      </w:r>
      <w:r w:rsidR="00624B25" w:rsidRPr="007A35C7">
        <w:rPr>
          <w:color w:val="0070C0"/>
        </w:rPr>
        <w:t xml:space="preserve"> </w:t>
      </w:r>
    </w:p>
    <w:p w14:paraId="3D8CBAC7" w14:textId="77777777" w:rsidR="009415B0" w:rsidRPr="00C74EE9" w:rsidRDefault="009415B0" w:rsidP="00624B25">
      <w:pPr>
        <w:spacing w:after="0"/>
        <w:ind w:hanging="567"/>
        <w:rPr>
          <w:rFonts w:asciiTheme="minorHAnsi" w:hAnsiTheme="minorHAnsi" w:cstheme="minorHAnsi"/>
          <w:color w:val="FF0000"/>
          <w:sz w:val="12"/>
          <w:szCs w:val="12"/>
        </w:rPr>
      </w:pPr>
    </w:p>
    <w:p w14:paraId="5AE6489F" w14:textId="77777777" w:rsidR="009415B0" w:rsidRPr="00ED337E" w:rsidRDefault="00C36029" w:rsidP="007A35C7">
      <w:pPr>
        <w:pStyle w:val="ListParagraph"/>
        <w:numPr>
          <w:ilvl w:val="0"/>
          <w:numId w:val="12"/>
        </w:numPr>
        <w:spacing w:before="0" w:after="0"/>
        <w:ind w:left="0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Scheduled medicines – pharmacist proprietors must ensure the chain of custody of all scheduled medicines from the pharmacy that is to close.</w:t>
      </w:r>
      <w:r w:rsidR="00A85AC4" w:rsidRPr="00ED337E">
        <w:rPr>
          <w:rFonts w:asciiTheme="minorHAnsi" w:hAnsiTheme="minorHAnsi" w:cstheme="minorHAnsi"/>
          <w:sz w:val="24"/>
          <w:szCs w:val="24"/>
        </w:rPr>
        <w:t xml:space="preserve"> Planning is essential to ensure the transition of scheduled medicines to the new location</w:t>
      </w:r>
      <w:r w:rsidR="00C1070B" w:rsidRPr="00ED337E">
        <w:rPr>
          <w:rFonts w:asciiTheme="minorHAnsi" w:hAnsiTheme="minorHAnsi" w:cstheme="minorHAnsi"/>
          <w:sz w:val="24"/>
          <w:szCs w:val="24"/>
        </w:rPr>
        <w:t>/owner/management structure</w:t>
      </w:r>
      <w:r w:rsidR="00A85AC4" w:rsidRPr="00ED337E">
        <w:rPr>
          <w:rFonts w:asciiTheme="minorHAnsi" w:hAnsiTheme="minorHAnsi" w:cstheme="minorHAnsi"/>
          <w:sz w:val="24"/>
          <w:szCs w:val="24"/>
        </w:rPr>
        <w:t>.</w:t>
      </w:r>
    </w:p>
    <w:p w14:paraId="4F7CDDEB" w14:textId="77777777" w:rsidR="00C36029" w:rsidRPr="00ED337E" w:rsidRDefault="00C36029" w:rsidP="00624B25">
      <w:pPr>
        <w:spacing w:after="0"/>
        <w:ind w:hanging="567"/>
        <w:rPr>
          <w:rFonts w:asciiTheme="minorHAnsi" w:hAnsiTheme="minorHAnsi" w:cstheme="minorHAnsi"/>
          <w:sz w:val="12"/>
          <w:szCs w:val="12"/>
        </w:rPr>
      </w:pPr>
    </w:p>
    <w:p w14:paraId="045A5844" w14:textId="77777777" w:rsidR="00C36029" w:rsidRPr="00ED337E" w:rsidRDefault="00C36029" w:rsidP="007A35C7">
      <w:pPr>
        <w:pStyle w:val="ListParagraph"/>
        <w:numPr>
          <w:ilvl w:val="0"/>
          <w:numId w:val="12"/>
        </w:numPr>
        <w:spacing w:before="0" w:after="0"/>
        <w:ind w:left="0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Stationary – a decision needs to be made as to whether pharmacy labels, referral pads etc. are to be destroyed</w:t>
      </w:r>
      <w:r w:rsidR="00A85AC4" w:rsidRPr="00ED337E">
        <w:rPr>
          <w:rFonts w:asciiTheme="minorHAnsi" w:hAnsiTheme="minorHAnsi" w:cstheme="minorHAnsi"/>
          <w:sz w:val="24"/>
          <w:szCs w:val="24"/>
        </w:rPr>
        <w:t xml:space="preserve"> or securely stored</w:t>
      </w:r>
      <w:r w:rsidRPr="00ED337E">
        <w:rPr>
          <w:rFonts w:asciiTheme="minorHAnsi" w:hAnsiTheme="minorHAnsi" w:cstheme="minorHAnsi"/>
          <w:sz w:val="24"/>
          <w:szCs w:val="24"/>
        </w:rPr>
        <w:t>.</w:t>
      </w:r>
    </w:p>
    <w:p w14:paraId="18F8DEA7" w14:textId="77777777" w:rsidR="009415B0" w:rsidRPr="00ED337E" w:rsidRDefault="009415B0" w:rsidP="00624B25">
      <w:pPr>
        <w:spacing w:after="0"/>
        <w:ind w:hanging="567"/>
        <w:rPr>
          <w:rFonts w:asciiTheme="minorHAnsi" w:hAnsiTheme="minorHAnsi" w:cstheme="minorHAnsi"/>
          <w:sz w:val="12"/>
          <w:szCs w:val="12"/>
        </w:rPr>
      </w:pPr>
    </w:p>
    <w:p w14:paraId="1E827E1E" w14:textId="77777777" w:rsidR="00C36029" w:rsidRPr="00ED337E" w:rsidRDefault="00C36029" w:rsidP="007A35C7">
      <w:pPr>
        <w:pStyle w:val="ListParagraph"/>
        <w:numPr>
          <w:ilvl w:val="0"/>
          <w:numId w:val="12"/>
        </w:numPr>
        <w:spacing w:before="0" w:after="0"/>
        <w:ind w:left="0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Hardware and software programs – planning must be undertaken as to whether the pharmacy programs are to be deactivated or c</w:t>
      </w:r>
      <w:r w:rsidR="00EA6112" w:rsidRPr="00ED337E">
        <w:rPr>
          <w:rFonts w:asciiTheme="minorHAnsi" w:hAnsiTheme="minorHAnsi" w:cstheme="minorHAnsi"/>
          <w:sz w:val="24"/>
          <w:szCs w:val="24"/>
        </w:rPr>
        <w:t>ancelled</w:t>
      </w:r>
      <w:r w:rsidRPr="00ED337E">
        <w:rPr>
          <w:rFonts w:asciiTheme="minorHAnsi" w:hAnsiTheme="minorHAnsi" w:cstheme="minorHAnsi"/>
          <w:sz w:val="24"/>
          <w:szCs w:val="24"/>
        </w:rPr>
        <w:t>. Hardware containing pharmacy software programs must be stored to prevent inadvertent access.</w:t>
      </w:r>
      <w:r w:rsidR="00C1070B" w:rsidRPr="00ED337E">
        <w:rPr>
          <w:rFonts w:asciiTheme="minorHAnsi" w:hAnsiTheme="minorHAnsi" w:cstheme="minorHAnsi"/>
          <w:sz w:val="24"/>
          <w:szCs w:val="24"/>
        </w:rPr>
        <w:t xml:space="preserve"> Patient information, including dispensing records, is sensitive health inform</w:t>
      </w:r>
      <w:bookmarkStart w:id="0" w:name="_GoBack"/>
      <w:bookmarkEnd w:id="0"/>
      <w:r w:rsidR="00C1070B" w:rsidRPr="00ED337E">
        <w:rPr>
          <w:rFonts w:asciiTheme="minorHAnsi" w:hAnsiTheme="minorHAnsi" w:cstheme="minorHAnsi"/>
          <w:sz w:val="24"/>
          <w:szCs w:val="24"/>
        </w:rPr>
        <w:t>ation. Retention needs to adhere to relevant regulations and expectations. For more information contact the Office of the Informational Commissions or Australian Cyber Security Centre</w:t>
      </w:r>
    </w:p>
    <w:p w14:paraId="0F2D0963" w14:textId="77777777" w:rsidR="009415B0" w:rsidRPr="00ED337E" w:rsidRDefault="009415B0" w:rsidP="007A35C7">
      <w:pPr>
        <w:spacing w:before="0" w:after="0"/>
        <w:ind w:hanging="567"/>
        <w:rPr>
          <w:rFonts w:asciiTheme="minorHAnsi" w:hAnsiTheme="minorHAnsi" w:cstheme="minorHAnsi"/>
          <w:sz w:val="12"/>
          <w:szCs w:val="12"/>
        </w:rPr>
      </w:pPr>
    </w:p>
    <w:p w14:paraId="4DCDCF30" w14:textId="77777777" w:rsidR="00C36029" w:rsidRPr="007A35C7" w:rsidRDefault="00C36029" w:rsidP="007A35C7">
      <w:pPr>
        <w:pStyle w:val="ListParagraph"/>
        <w:numPr>
          <w:ilvl w:val="0"/>
          <w:numId w:val="12"/>
        </w:numPr>
        <w:spacing w:before="0" w:after="0"/>
        <w:ind w:left="0" w:hanging="567"/>
        <w:rPr>
          <w:rFonts w:asciiTheme="minorHAnsi" w:hAnsiTheme="minorHAnsi" w:cstheme="minorHAnsi"/>
          <w:color w:val="0070C0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 xml:space="preserve">If the pharmacy has a Section 90 </w:t>
      </w:r>
      <w:r w:rsidR="00A85AC4" w:rsidRPr="00ED337E">
        <w:rPr>
          <w:rFonts w:asciiTheme="minorHAnsi" w:hAnsiTheme="minorHAnsi" w:cstheme="minorHAnsi"/>
          <w:sz w:val="24"/>
          <w:szCs w:val="24"/>
        </w:rPr>
        <w:t>or 94 approval under the National Health Act</w:t>
      </w:r>
      <w:r w:rsidR="007D5122" w:rsidRPr="00ED337E">
        <w:rPr>
          <w:rFonts w:asciiTheme="minorHAnsi" w:hAnsiTheme="minorHAnsi" w:cstheme="minorHAnsi"/>
          <w:sz w:val="24"/>
          <w:szCs w:val="24"/>
        </w:rPr>
        <w:t xml:space="preserve"> </w:t>
      </w:r>
      <w:r w:rsidR="00A85AC4" w:rsidRPr="00ED337E">
        <w:rPr>
          <w:rFonts w:asciiTheme="minorHAnsi" w:hAnsiTheme="minorHAnsi" w:cstheme="minorHAnsi"/>
          <w:sz w:val="24"/>
          <w:szCs w:val="24"/>
        </w:rPr>
        <w:t>1953</w:t>
      </w:r>
      <w:r w:rsidR="00EA6112" w:rsidRPr="00ED337E">
        <w:rPr>
          <w:rFonts w:asciiTheme="minorHAnsi" w:hAnsiTheme="minorHAnsi" w:cstheme="minorHAnsi"/>
          <w:sz w:val="24"/>
          <w:szCs w:val="24"/>
        </w:rPr>
        <w:t xml:space="preserve">, the proprietor (or agent acting on behalf of) </w:t>
      </w:r>
      <w:r w:rsidR="007D5122" w:rsidRPr="00ED337E">
        <w:rPr>
          <w:rFonts w:asciiTheme="minorHAnsi" w:hAnsiTheme="minorHAnsi" w:cstheme="minorHAnsi"/>
          <w:sz w:val="24"/>
          <w:szCs w:val="24"/>
        </w:rPr>
        <w:t>must notify the Commonwealth Department of Health:</w:t>
      </w:r>
      <w:r w:rsidR="007D5122" w:rsidRPr="00C74EE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hyperlink r:id="rId9" w:history="1">
        <w:r w:rsidR="007D5122" w:rsidRPr="007A35C7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Department of Health and Aged Care | Deactivation of an approved pharmacist - guidelines</w:t>
        </w:r>
      </w:hyperlink>
    </w:p>
    <w:p w14:paraId="6B92556D" w14:textId="77777777" w:rsidR="009415B0" w:rsidRPr="00C74EE9" w:rsidRDefault="009415B0" w:rsidP="00624B25">
      <w:pPr>
        <w:spacing w:after="0"/>
        <w:ind w:hanging="567"/>
        <w:rPr>
          <w:rFonts w:asciiTheme="minorHAnsi" w:hAnsiTheme="minorHAnsi" w:cstheme="minorHAnsi"/>
          <w:color w:val="FF0000"/>
          <w:sz w:val="12"/>
          <w:szCs w:val="12"/>
        </w:rPr>
      </w:pPr>
    </w:p>
    <w:p w14:paraId="67E43380" w14:textId="77777777" w:rsidR="007D5122" w:rsidRPr="00ED337E" w:rsidRDefault="007D5122" w:rsidP="007A35C7">
      <w:pPr>
        <w:pStyle w:val="ListParagraph"/>
        <w:numPr>
          <w:ilvl w:val="0"/>
          <w:numId w:val="12"/>
        </w:numPr>
        <w:spacing w:after="0"/>
        <w:ind w:left="0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If the pharmacy provides opioid pharmacotherapy</w:t>
      </w:r>
      <w:r w:rsidR="00C1070B" w:rsidRPr="00ED337E">
        <w:rPr>
          <w:rFonts w:asciiTheme="minorHAnsi" w:hAnsiTheme="minorHAnsi" w:cstheme="minorHAnsi"/>
          <w:sz w:val="24"/>
          <w:szCs w:val="24"/>
        </w:rPr>
        <w:t xml:space="preserve"> (OPP)</w:t>
      </w:r>
      <w:r w:rsidRPr="00ED337E">
        <w:rPr>
          <w:rFonts w:asciiTheme="minorHAnsi" w:hAnsiTheme="minorHAnsi" w:cstheme="minorHAnsi"/>
          <w:sz w:val="24"/>
          <w:szCs w:val="24"/>
        </w:rPr>
        <w:t xml:space="preserve">, it is recommended you contact </w:t>
      </w:r>
      <w:proofErr w:type="gramStart"/>
      <w:r w:rsidRPr="00ED337E">
        <w:rPr>
          <w:rFonts w:asciiTheme="minorHAnsi" w:hAnsiTheme="minorHAnsi" w:cstheme="minorHAnsi"/>
          <w:sz w:val="24"/>
          <w:szCs w:val="24"/>
        </w:rPr>
        <w:t>your</w:t>
      </w:r>
      <w:proofErr w:type="gramEnd"/>
      <w:r w:rsidR="00C1070B" w:rsidRPr="00ED337E">
        <w:rPr>
          <w:rFonts w:asciiTheme="minorHAnsi" w:hAnsiTheme="minorHAnsi" w:cstheme="minorHAnsi"/>
          <w:sz w:val="24"/>
          <w:szCs w:val="24"/>
        </w:rPr>
        <w:t xml:space="preserve"> OPP prescribers or</w:t>
      </w:r>
      <w:r w:rsidRPr="00ED337E">
        <w:rPr>
          <w:rFonts w:asciiTheme="minorHAnsi" w:hAnsiTheme="minorHAnsi" w:cstheme="minorHAnsi"/>
          <w:sz w:val="24"/>
          <w:szCs w:val="24"/>
        </w:rPr>
        <w:t xml:space="preserve"> local AODS and advise the impending closure of the pharmacy. It is recommended this be undertaken at least a month prior to closure to facilitate the transition of clients to a new pharmacy.</w:t>
      </w:r>
    </w:p>
    <w:p w14:paraId="3898ADE9" w14:textId="77777777" w:rsidR="00A85AC4" w:rsidRPr="00ED337E" w:rsidRDefault="00A85AC4" w:rsidP="00624B25">
      <w:pPr>
        <w:pStyle w:val="ListParagraph"/>
        <w:ind w:left="0" w:hanging="567"/>
        <w:rPr>
          <w:rFonts w:asciiTheme="minorHAnsi" w:hAnsiTheme="minorHAnsi" w:cstheme="minorHAnsi"/>
          <w:sz w:val="24"/>
          <w:szCs w:val="24"/>
        </w:rPr>
      </w:pPr>
    </w:p>
    <w:p w14:paraId="54549983" w14:textId="29FA3EA5" w:rsidR="00A85AC4" w:rsidRPr="00ED337E" w:rsidRDefault="00A85AC4" w:rsidP="007A35C7">
      <w:pPr>
        <w:pStyle w:val="ListParagraph"/>
        <w:numPr>
          <w:ilvl w:val="0"/>
          <w:numId w:val="12"/>
        </w:numPr>
        <w:spacing w:after="0"/>
        <w:ind w:left="0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 xml:space="preserve">If the pharmacy provides services to aged care or Section 100 provider for remote / urban community groups, you must notify these services at least a month prior to anticipated close or as instructed </w:t>
      </w:r>
      <w:r w:rsidR="008539C4" w:rsidRPr="00ED337E">
        <w:rPr>
          <w:rFonts w:asciiTheme="minorHAnsi" w:hAnsiTheme="minorHAnsi" w:cstheme="minorHAnsi"/>
          <w:sz w:val="24"/>
          <w:szCs w:val="24"/>
        </w:rPr>
        <w:t>in the contract / services agreement</w:t>
      </w:r>
      <w:r w:rsidRPr="00ED337E">
        <w:rPr>
          <w:rFonts w:asciiTheme="minorHAnsi" w:hAnsiTheme="minorHAnsi" w:cstheme="minorHAnsi"/>
          <w:sz w:val="24"/>
          <w:szCs w:val="24"/>
        </w:rPr>
        <w:t>.</w:t>
      </w:r>
    </w:p>
    <w:p w14:paraId="4C921693" w14:textId="77777777" w:rsidR="009415B0" w:rsidRPr="00ED337E" w:rsidRDefault="009415B0" w:rsidP="00624B25">
      <w:pPr>
        <w:spacing w:after="0"/>
        <w:ind w:hanging="567"/>
        <w:rPr>
          <w:rFonts w:asciiTheme="minorHAnsi" w:hAnsiTheme="minorHAnsi" w:cstheme="minorHAnsi"/>
          <w:sz w:val="12"/>
          <w:szCs w:val="12"/>
        </w:rPr>
      </w:pPr>
    </w:p>
    <w:p w14:paraId="1B78D308" w14:textId="77777777" w:rsidR="007D5122" w:rsidRPr="00ED337E" w:rsidRDefault="007D5122" w:rsidP="007A35C7">
      <w:pPr>
        <w:pStyle w:val="ListParagraph"/>
        <w:numPr>
          <w:ilvl w:val="0"/>
          <w:numId w:val="12"/>
        </w:numPr>
        <w:spacing w:before="0"/>
        <w:ind w:left="0" w:hanging="567"/>
        <w:rPr>
          <w:rFonts w:asciiTheme="minorHAnsi" w:hAnsiTheme="minorHAnsi" w:cstheme="minorHAnsi"/>
          <w:sz w:val="24"/>
          <w:szCs w:val="24"/>
        </w:rPr>
      </w:pPr>
      <w:proofErr w:type="gramStart"/>
      <w:r w:rsidRPr="00ED337E">
        <w:rPr>
          <w:rFonts w:asciiTheme="minorHAnsi" w:hAnsiTheme="minorHAnsi" w:cstheme="minorHAnsi"/>
          <w:sz w:val="24"/>
          <w:szCs w:val="24"/>
        </w:rPr>
        <w:t>Advise</w:t>
      </w:r>
      <w:proofErr w:type="gramEnd"/>
      <w:r w:rsidRPr="00ED337E">
        <w:rPr>
          <w:rFonts w:asciiTheme="minorHAnsi" w:hAnsiTheme="minorHAnsi" w:cstheme="minorHAnsi"/>
          <w:sz w:val="24"/>
          <w:szCs w:val="24"/>
        </w:rPr>
        <w:t xml:space="preserve"> patients that keep paper based records at the pharmacy. This must be undertaken up to a month prior to ensure patients have access to their records after the pharmacy has closed.</w:t>
      </w:r>
    </w:p>
    <w:p w14:paraId="05449448" w14:textId="77777777" w:rsidR="00EA6112" w:rsidRPr="00ED337E" w:rsidRDefault="00EA6112" w:rsidP="00624B25">
      <w:pPr>
        <w:pStyle w:val="ListParagraph"/>
        <w:ind w:left="0" w:hanging="567"/>
        <w:rPr>
          <w:rFonts w:asciiTheme="minorHAnsi" w:hAnsiTheme="minorHAnsi" w:cstheme="minorHAnsi"/>
          <w:sz w:val="20"/>
          <w:szCs w:val="20"/>
        </w:rPr>
      </w:pPr>
    </w:p>
    <w:p w14:paraId="32F92E60" w14:textId="77777777" w:rsidR="00EA6112" w:rsidRPr="00ED337E" w:rsidRDefault="00EA6112" w:rsidP="007A35C7">
      <w:pPr>
        <w:pStyle w:val="ListParagraph"/>
        <w:numPr>
          <w:ilvl w:val="0"/>
          <w:numId w:val="12"/>
        </w:numPr>
        <w:spacing w:after="0"/>
        <w:ind w:left="0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Place a sign in the pharmacy notifying patient of the impending closure. You must allow a reasonable length of time for the sign to be placed on display to allow the maximum exposure for patients. If the pharmacy operates a social media account it is strongly recommended advertising the closure.</w:t>
      </w:r>
    </w:p>
    <w:p w14:paraId="1C74F6C3" w14:textId="77777777" w:rsidR="00EA6112" w:rsidRPr="00ED337E" w:rsidRDefault="00EA6112" w:rsidP="00624B25">
      <w:pPr>
        <w:pStyle w:val="ListParagraph"/>
        <w:ind w:left="0" w:hanging="567"/>
        <w:rPr>
          <w:rFonts w:asciiTheme="minorHAnsi" w:hAnsiTheme="minorHAnsi" w:cstheme="minorHAnsi"/>
          <w:sz w:val="24"/>
          <w:szCs w:val="24"/>
        </w:rPr>
      </w:pPr>
    </w:p>
    <w:p w14:paraId="1502DC20" w14:textId="77777777" w:rsidR="007D5122" w:rsidRPr="00ED337E" w:rsidRDefault="007D5122" w:rsidP="007D5122">
      <w:pPr>
        <w:pStyle w:val="ListParagraph"/>
        <w:numPr>
          <w:ilvl w:val="0"/>
          <w:numId w:val="11"/>
        </w:numPr>
        <w:spacing w:before="0"/>
        <w:rPr>
          <w:rFonts w:asciiTheme="minorHAnsi" w:hAnsiTheme="minorHAnsi" w:cstheme="minorHAnsi"/>
          <w:b/>
          <w:sz w:val="28"/>
          <w:szCs w:val="28"/>
        </w:rPr>
      </w:pPr>
      <w:r w:rsidRPr="00ED337E">
        <w:rPr>
          <w:rFonts w:asciiTheme="minorHAnsi" w:hAnsiTheme="minorHAnsi" w:cstheme="minorHAnsi"/>
          <w:b/>
          <w:sz w:val="28"/>
          <w:szCs w:val="28"/>
        </w:rPr>
        <w:lastRenderedPageBreak/>
        <w:t>Closure of the Pharmacy</w:t>
      </w:r>
    </w:p>
    <w:p w14:paraId="29C3852D" w14:textId="77777777" w:rsidR="007D5122" w:rsidRPr="00ED337E" w:rsidRDefault="007D5122" w:rsidP="00624B25">
      <w:pPr>
        <w:spacing w:before="0"/>
        <w:ind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It is recommended the following actions are undertaken to ensure legislat</w:t>
      </w:r>
      <w:r w:rsidR="00EA6112" w:rsidRPr="00ED337E">
        <w:rPr>
          <w:rFonts w:asciiTheme="minorHAnsi" w:hAnsiTheme="minorHAnsi" w:cstheme="minorHAnsi"/>
          <w:sz w:val="24"/>
          <w:szCs w:val="24"/>
        </w:rPr>
        <w:t>ive</w:t>
      </w:r>
      <w:r w:rsidRPr="00ED337E">
        <w:rPr>
          <w:rFonts w:asciiTheme="minorHAnsi" w:hAnsiTheme="minorHAnsi" w:cstheme="minorHAnsi"/>
          <w:sz w:val="24"/>
          <w:szCs w:val="24"/>
        </w:rPr>
        <w:t xml:space="preserve"> compliance</w:t>
      </w:r>
      <w:r w:rsidR="00624B25" w:rsidRPr="00ED337E">
        <w:rPr>
          <w:rFonts w:asciiTheme="minorHAnsi" w:hAnsiTheme="minorHAnsi" w:cstheme="minorHAnsi"/>
          <w:sz w:val="24"/>
          <w:szCs w:val="24"/>
        </w:rPr>
        <w:t>, security</w:t>
      </w:r>
      <w:r w:rsidRPr="00ED337E">
        <w:rPr>
          <w:rFonts w:asciiTheme="minorHAnsi" w:hAnsiTheme="minorHAnsi" w:cstheme="minorHAnsi"/>
          <w:sz w:val="24"/>
          <w:szCs w:val="24"/>
        </w:rPr>
        <w:t xml:space="preserve"> and safe custody of scheduled medicines:</w:t>
      </w:r>
    </w:p>
    <w:p w14:paraId="4CD8E91C" w14:textId="77777777" w:rsidR="007D5122" w:rsidRPr="00ED337E" w:rsidRDefault="007D5122" w:rsidP="00624B25">
      <w:pPr>
        <w:pStyle w:val="ListParagraph"/>
        <w:numPr>
          <w:ilvl w:val="0"/>
          <w:numId w:val="13"/>
        </w:numPr>
        <w:spacing w:before="0"/>
        <w:ind w:left="0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 xml:space="preserve">Ensure the secure </w:t>
      </w:r>
      <w:r w:rsidR="00C1070B" w:rsidRPr="00ED337E">
        <w:rPr>
          <w:rFonts w:asciiTheme="minorHAnsi" w:hAnsiTheme="minorHAnsi" w:cstheme="minorHAnsi"/>
          <w:sz w:val="24"/>
          <w:szCs w:val="24"/>
        </w:rPr>
        <w:t xml:space="preserve">ongoing </w:t>
      </w:r>
      <w:r w:rsidRPr="00ED337E">
        <w:rPr>
          <w:rFonts w:asciiTheme="minorHAnsi" w:hAnsiTheme="minorHAnsi" w:cstheme="minorHAnsi"/>
          <w:sz w:val="24"/>
          <w:szCs w:val="24"/>
        </w:rPr>
        <w:t>storage of all pharmacy records.</w:t>
      </w:r>
    </w:p>
    <w:p w14:paraId="3873C83D" w14:textId="77777777" w:rsidR="009415B0" w:rsidRPr="00ED337E" w:rsidRDefault="009415B0" w:rsidP="00624B25">
      <w:pPr>
        <w:spacing w:before="0" w:after="0"/>
        <w:ind w:hanging="567"/>
        <w:rPr>
          <w:rFonts w:asciiTheme="minorHAnsi" w:hAnsiTheme="minorHAnsi" w:cstheme="minorHAnsi"/>
          <w:sz w:val="12"/>
          <w:szCs w:val="12"/>
        </w:rPr>
      </w:pPr>
    </w:p>
    <w:p w14:paraId="4CD5A9AC" w14:textId="77777777" w:rsidR="00955FEA" w:rsidRPr="007A35C7" w:rsidRDefault="007D5122" w:rsidP="00624B25">
      <w:pPr>
        <w:pStyle w:val="ListParagraph"/>
        <w:numPr>
          <w:ilvl w:val="0"/>
          <w:numId w:val="13"/>
        </w:numPr>
        <w:spacing w:before="0"/>
        <w:ind w:left="0" w:hanging="567"/>
        <w:rPr>
          <w:rFonts w:asciiTheme="minorHAnsi" w:hAnsiTheme="minorHAnsi" w:cstheme="minorHAnsi"/>
          <w:color w:val="0070C0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 xml:space="preserve">Scheduled medicines: </w:t>
      </w:r>
      <w:r w:rsidR="009415B0" w:rsidRPr="00ED337E">
        <w:rPr>
          <w:rFonts w:asciiTheme="minorHAnsi" w:hAnsiTheme="minorHAnsi" w:cstheme="minorHAnsi"/>
          <w:sz w:val="24"/>
          <w:szCs w:val="24"/>
        </w:rPr>
        <w:t xml:space="preserve">In the NT a pharmacist is legally allowed to transfer medicines from the pharmacy to another pharmacy or licensed wholesaler - MPTGA Section 35(2): </w:t>
      </w:r>
      <w:hyperlink r:id="rId10" w:history="1">
        <w:r w:rsidR="009415B0" w:rsidRPr="007A35C7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Legislation MPTGA 2012 (nt.gov.au)</w:t>
        </w:r>
      </w:hyperlink>
    </w:p>
    <w:p w14:paraId="3BDAF956" w14:textId="77777777" w:rsidR="007D5122" w:rsidRPr="00ED337E" w:rsidRDefault="00955FEA" w:rsidP="00624B25">
      <w:pPr>
        <w:pStyle w:val="ListParagraph"/>
        <w:numPr>
          <w:ilvl w:val="1"/>
          <w:numId w:val="13"/>
        </w:numPr>
        <w:spacing w:before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 xml:space="preserve">Over the counter medicines: ensure they are transferred to an appropriate storage location </w:t>
      </w:r>
      <w:proofErr w:type="spellStart"/>
      <w:r w:rsidRPr="00ED337E">
        <w:rPr>
          <w:rFonts w:asciiTheme="minorHAnsi" w:hAnsiTheme="minorHAnsi" w:cstheme="minorHAnsi"/>
          <w:sz w:val="24"/>
          <w:szCs w:val="24"/>
        </w:rPr>
        <w:t>eg</w:t>
      </w:r>
      <w:proofErr w:type="spellEnd"/>
      <w:r w:rsidRPr="00ED337E">
        <w:rPr>
          <w:rFonts w:asciiTheme="minorHAnsi" w:hAnsiTheme="minorHAnsi" w:cstheme="minorHAnsi"/>
          <w:sz w:val="24"/>
          <w:szCs w:val="24"/>
        </w:rPr>
        <w:t>: licensed pharmacy warehouse or community pharmacy</w:t>
      </w:r>
      <w:r w:rsidR="00EA6112" w:rsidRPr="00ED337E">
        <w:rPr>
          <w:rFonts w:asciiTheme="minorHAnsi" w:hAnsiTheme="minorHAnsi" w:cstheme="minorHAnsi"/>
          <w:sz w:val="24"/>
          <w:szCs w:val="24"/>
        </w:rPr>
        <w:t>.</w:t>
      </w:r>
    </w:p>
    <w:p w14:paraId="5A9C2784" w14:textId="77777777" w:rsidR="00EA6112" w:rsidRPr="00ED337E" w:rsidRDefault="00EA6112" w:rsidP="00624B25">
      <w:pPr>
        <w:spacing w:before="0" w:after="0"/>
        <w:ind w:left="567" w:hanging="567"/>
        <w:rPr>
          <w:rFonts w:asciiTheme="minorHAnsi" w:hAnsiTheme="minorHAnsi" w:cstheme="minorHAnsi"/>
          <w:sz w:val="12"/>
          <w:szCs w:val="12"/>
        </w:rPr>
      </w:pPr>
    </w:p>
    <w:p w14:paraId="33A4D389" w14:textId="77777777" w:rsidR="00955FEA" w:rsidRPr="00ED337E" w:rsidRDefault="00955FEA" w:rsidP="00624B25">
      <w:pPr>
        <w:pStyle w:val="ListParagraph"/>
        <w:numPr>
          <w:ilvl w:val="1"/>
          <w:numId w:val="13"/>
        </w:numPr>
        <w:spacing w:before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Schedule 4 medicines: stocktake all medicines and ensure transfer occurs is a safe and secure manner. The receiver of the goods is obligated to ensure all stock has been transferred in accordance with the stocktake.</w:t>
      </w:r>
    </w:p>
    <w:p w14:paraId="55540DC7" w14:textId="77777777" w:rsidR="00A85AC4" w:rsidRPr="00ED337E" w:rsidRDefault="00A85AC4" w:rsidP="00624B25">
      <w:pPr>
        <w:spacing w:before="0" w:after="0"/>
        <w:ind w:left="567" w:hanging="567"/>
        <w:rPr>
          <w:rFonts w:asciiTheme="minorHAnsi" w:hAnsiTheme="minorHAnsi" w:cstheme="minorHAnsi"/>
          <w:sz w:val="12"/>
          <w:szCs w:val="12"/>
        </w:rPr>
      </w:pPr>
    </w:p>
    <w:p w14:paraId="14A1716C" w14:textId="77777777" w:rsidR="00955FEA" w:rsidRPr="00C74EE9" w:rsidRDefault="00955FEA" w:rsidP="00624B25">
      <w:pPr>
        <w:pStyle w:val="ListParagraph"/>
        <w:numPr>
          <w:ilvl w:val="1"/>
          <w:numId w:val="13"/>
        </w:numPr>
        <w:spacing w:before="0"/>
        <w:ind w:left="567" w:hanging="567"/>
        <w:rPr>
          <w:rFonts w:asciiTheme="minorHAnsi" w:hAnsiTheme="minorHAnsi" w:cstheme="minorHAnsi"/>
          <w:color w:val="FF0000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 xml:space="preserve">Schedule 8 medicines: Register count must be undertaken at closure and stock transferred to a licensed pharmacy warehouse or community pharmacy. The receiver must count the stock received and provide the closed pharmacy with a receipt of goods received. Any unresolved discrepancies must be reported to medicines and Poisons: </w:t>
      </w:r>
      <w:hyperlink r:id="rId11" w:history="1">
        <w:r w:rsidRPr="007A35C7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drug-loss-incident-or-discrepancy-report-form.docx (live.com)</w:t>
        </w:r>
      </w:hyperlink>
    </w:p>
    <w:p w14:paraId="108905D1" w14:textId="77777777" w:rsidR="00A85AC4" w:rsidRPr="00C74EE9" w:rsidRDefault="00A85AC4" w:rsidP="00624B25">
      <w:pPr>
        <w:spacing w:before="0" w:after="0"/>
        <w:ind w:hanging="567"/>
        <w:rPr>
          <w:rFonts w:asciiTheme="minorHAnsi" w:hAnsiTheme="minorHAnsi" w:cstheme="minorHAnsi"/>
          <w:color w:val="FF0000"/>
          <w:sz w:val="12"/>
          <w:szCs w:val="12"/>
        </w:rPr>
      </w:pPr>
    </w:p>
    <w:p w14:paraId="73B0E4A3" w14:textId="6378BA14" w:rsidR="00955FEA" w:rsidRPr="00ED337E" w:rsidRDefault="00955FEA" w:rsidP="00624B25">
      <w:pPr>
        <w:pStyle w:val="ListParagraph"/>
        <w:numPr>
          <w:ilvl w:val="0"/>
          <w:numId w:val="13"/>
        </w:numPr>
        <w:spacing w:before="0"/>
        <w:ind w:left="0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Remove all signage for the pharmacy. This is a legal requirement under the Health Practitioners Act 2004</w:t>
      </w:r>
      <w:r w:rsidR="009415B0" w:rsidRPr="00ED337E">
        <w:rPr>
          <w:rFonts w:asciiTheme="minorHAnsi" w:hAnsiTheme="minorHAnsi" w:cstheme="minorHAnsi"/>
          <w:sz w:val="24"/>
          <w:szCs w:val="24"/>
        </w:rPr>
        <w:t xml:space="preserve"> Schedule 7 Clause 10(1):</w:t>
      </w:r>
      <w:r w:rsidR="009415B0" w:rsidRPr="00C74EE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hyperlink r:id="rId12" w:history="1">
        <w:r w:rsidR="009415B0" w:rsidRPr="007A35C7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Legislation HPA 2004 (nt.gov.au)</w:t>
        </w:r>
      </w:hyperlink>
      <w:r w:rsidR="00C014BB" w:rsidRPr="007A35C7">
        <w:rPr>
          <w:rStyle w:val="Hyperlink"/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C014BB" w:rsidRPr="00ED337E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and should occur 7-10 business days after closure.</w:t>
      </w:r>
    </w:p>
    <w:p w14:paraId="64402684" w14:textId="77777777" w:rsidR="00A85AC4" w:rsidRPr="00ED337E" w:rsidRDefault="00A85AC4" w:rsidP="00624B25">
      <w:pPr>
        <w:spacing w:before="0" w:after="0"/>
        <w:ind w:hanging="567"/>
        <w:rPr>
          <w:rFonts w:asciiTheme="minorHAnsi" w:hAnsiTheme="minorHAnsi" w:cstheme="minorHAnsi"/>
          <w:sz w:val="12"/>
          <w:szCs w:val="12"/>
        </w:rPr>
      </w:pPr>
    </w:p>
    <w:p w14:paraId="0C1285F9" w14:textId="77777777" w:rsidR="00BC5B4D" w:rsidRPr="00ED337E" w:rsidRDefault="00955FEA" w:rsidP="00624B25">
      <w:pPr>
        <w:pStyle w:val="ListParagraph"/>
        <w:numPr>
          <w:ilvl w:val="0"/>
          <w:numId w:val="13"/>
        </w:numPr>
        <w:spacing w:before="0"/>
        <w:ind w:left="0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Remove all advertising / internet references to the pharmacy</w:t>
      </w:r>
      <w:r w:rsidR="00C014BB" w:rsidRPr="00ED337E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C014BB" w:rsidRPr="00ED337E">
        <w:rPr>
          <w:rFonts w:asciiTheme="minorHAnsi" w:hAnsiTheme="minorHAnsi" w:cstheme="minorHAnsi"/>
          <w:sz w:val="24"/>
          <w:szCs w:val="24"/>
        </w:rPr>
        <w:t>eg</w:t>
      </w:r>
      <w:proofErr w:type="spellEnd"/>
      <w:r w:rsidR="00C014BB" w:rsidRPr="00ED337E">
        <w:rPr>
          <w:rFonts w:asciiTheme="minorHAnsi" w:hAnsiTheme="minorHAnsi" w:cstheme="minorHAnsi"/>
          <w:sz w:val="24"/>
          <w:szCs w:val="24"/>
        </w:rPr>
        <w:t xml:space="preserve"> Google listings and Social Media pages)</w:t>
      </w:r>
      <w:r w:rsidRPr="00ED337E">
        <w:rPr>
          <w:rFonts w:asciiTheme="minorHAnsi" w:hAnsiTheme="minorHAnsi" w:cstheme="minorHAnsi"/>
          <w:sz w:val="24"/>
          <w:szCs w:val="24"/>
        </w:rPr>
        <w:t>.</w:t>
      </w:r>
      <w:r w:rsidR="00BC5B4D" w:rsidRPr="00ED337E">
        <w:rPr>
          <w:rFonts w:asciiTheme="minorHAnsi" w:hAnsiTheme="minorHAnsi" w:cstheme="minorHAnsi"/>
          <w:sz w:val="24"/>
          <w:szCs w:val="24"/>
        </w:rPr>
        <w:t xml:space="preserve"> </w:t>
      </w:r>
      <w:r w:rsidR="00EA6112" w:rsidRPr="00ED337E">
        <w:rPr>
          <w:rFonts w:asciiTheme="minorHAnsi" w:hAnsiTheme="minorHAnsi" w:cstheme="minorHAnsi"/>
          <w:sz w:val="24"/>
          <w:szCs w:val="24"/>
        </w:rPr>
        <w:t xml:space="preserve">Landline telephone connections must be disconnected /diverted to another pharmacy.  </w:t>
      </w:r>
      <w:r w:rsidR="00BC5B4D" w:rsidRPr="00ED337E">
        <w:rPr>
          <w:rFonts w:asciiTheme="minorHAnsi" w:hAnsiTheme="minorHAnsi" w:cstheme="minorHAnsi"/>
          <w:sz w:val="24"/>
          <w:szCs w:val="24"/>
        </w:rPr>
        <w:t>The proprietor is also obligated to advise any third party such as a banner group, shopping centre management or marketing group of the closure to prevent inadvertent advertising of a pharmacy business.</w:t>
      </w:r>
    </w:p>
    <w:p w14:paraId="3DAA6A23" w14:textId="77777777" w:rsidR="00A85AC4" w:rsidRPr="00ED337E" w:rsidRDefault="00A85AC4" w:rsidP="00624B25">
      <w:pPr>
        <w:spacing w:before="0" w:after="0"/>
        <w:ind w:hanging="567"/>
        <w:rPr>
          <w:rFonts w:asciiTheme="minorHAnsi" w:hAnsiTheme="minorHAnsi" w:cstheme="minorHAnsi"/>
          <w:sz w:val="12"/>
          <w:szCs w:val="12"/>
        </w:rPr>
      </w:pPr>
    </w:p>
    <w:p w14:paraId="773545A6" w14:textId="4563B735" w:rsidR="00426B5B" w:rsidRPr="00ED337E" w:rsidRDefault="00BC5B4D" w:rsidP="00BB20CA">
      <w:pPr>
        <w:pStyle w:val="ListParagraph"/>
        <w:numPr>
          <w:ilvl w:val="0"/>
          <w:numId w:val="13"/>
        </w:numPr>
        <w:spacing w:before="0"/>
        <w:ind w:left="0" w:hanging="567"/>
        <w:rPr>
          <w:rFonts w:asciiTheme="minorHAnsi" w:hAnsiTheme="minorHAnsi" w:cstheme="minorHAnsi"/>
          <w:sz w:val="24"/>
          <w:szCs w:val="24"/>
        </w:rPr>
      </w:pPr>
      <w:r w:rsidRPr="00ED337E">
        <w:rPr>
          <w:rFonts w:asciiTheme="minorHAnsi" w:hAnsiTheme="minorHAnsi" w:cstheme="minorHAnsi"/>
          <w:sz w:val="24"/>
          <w:szCs w:val="24"/>
        </w:rPr>
        <w:t>Place a sign at the entrance of the closed premises to advise the public of the closure including the location of the nearest pharmacy</w:t>
      </w:r>
      <w:r w:rsidR="00C014BB" w:rsidRPr="00ED337E">
        <w:rPr>
          <w:rFonts w:asciiTheme="minorHAnsi" w:hAnsiTheme="minorHAnsi" w:cstheme="minorHAnsi"/>
          <w:sz w:val="24"/>
          <w:szCs w:val="24"/>
        </w:rPr>
        <w:t xml:space="preserve"> and contacts for any issues post closure relating to accounts/record keeping</w:t>
      </w:r>
      <w:r w:rsidRPr="00ED337E">
        <w:rPr>
          <w:rFonts w:asciiTheme="minorHAnsi" w:hAnsiTheme="minorHAnsi" w:cstheme="minorHAnsi"/>
          <w:sz w:val="24"/>
          <w:szCs w:val="24"/>
        </w:rPr>
        <w:t>.</w:t>
      </w:r>
      <w:r w:rsidR="00955FEA" w:rsidRPr="00ED337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BDE452" w14:textId="77777777" w:rsidR="0023181A" w:rsidRPr="00426B5B" w:rsidRDefault="00426B5B" w:rsidP="00426B5B">
      <w:pPr>
        <w:tabs>
          <w:tab w:val="left" w:pos="5572"/>
        </w:tabs>
        <w:rPr>
          <w:rFonts w:cs="Arial"/>
          <w:sz w:val="18"/>
          <w:szCs w:val="18"/>
        </w:rPr>
      </w:pPr>
      <w:r w:rsidRPr="0030552E">
        <w:rPr>
          <w:rFonts w:cs="Arial"/>
          <w:sz w:val="24"/>
          <w:szCs w:val="24"/>
        </w:rPr>
        <w:tab/>
      </w:r>
    </w:p>
    <w:sectPr w:rsidR="0023181A" w:rsidRPr="00426B5B" w:rsidSect="0023181A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FCC1E" w14:textId="77777777" w:rsidR="000175BE" w:rsidRDefault="000175BE" w:rsidP="00FE17B9">
      <w:pPr>
        <w:spacing w:before="0" w:after="0"/>
      </w:pPr>
      <w:r>
        <w:separator/>
      </w:r>
    </w:p>
  </w:endnote>
  <w:endnote w:type="continuationSeparator" w:id="0">
    <w:p w14:paraId="60181382" w14:textId="77777777" w:rsidR="000175BE" w:rsidRDefault="000175BE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5672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CCDF3C4" w14:textId="77777777" w:rsidR="00273372" w:rsidRDefault="00273372">
            <w:pPr>
              <w:pStyle w:val="Footer"/>
              <w:jc w:val="center"/>
            </w:pP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4488"/>
            </w:tblGrid>
            <w:tr w:rsidR="00273372" w:rsidRPr="009316AF" w14:paraId="29470BDC" w14:textId="77777777" w:rsidTr="00D81377">
              <w:tc>
                <w:tcPr>
                  <w:tcW w:w="5341" w:type="dxa"/>
                </w:tcPr>
                <w:p w14:paraId="540D6930" w14:textId="77777777" w:rsidR="00273372" w:rsidRPr="009316AF" w:rsidRDefault="00273372" w:rsidP="00513BF8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513BF8">
                    <w:rPr>
                      <w:rFonts w:asciiTheme="minorHAnsi" w:hAnsiTheme="minorHAnsi"/>
                    </w:rPr>
                    <w:t xml:space="preserve"> </w:t>
                  </w:r>
                  <w:r w:rsidR="00724FC0">
                    <w:rPr>
                      <w:rFonts w:asciiTheme="minorHAnsi" w:hAnsiTheme="minorHAnsi"/>
                    </w:rPr>
                    <w:t>NT Pharmacy Premises Committee</w:t>
                  </w:r>
                </w:p>
              </w:tc>
              <w:tc>
                <w:tcPr>
                  <w:tcW w:w="5341" w:type="dxa"/>
                </w:tcPr>
                <w:p w14:paraId="21893F1D" w14:textId="5F27DCA0" w:rsidR="00273372" w:rsidRPr="009316AF" w:rsidRDefault="00273372" w:rsidP="00C676B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Effective Date: </w:t>
                  </w:r>
                  <w:r w:rsidR="00ED337E">
                    <w:rPr>
                      <w:rFonts w:asciiTheme="minorHAnsi" w:hAnsiTheme="minorHAnsi"/>
                    </w:rPr>
                    <w:t>15 August 2024</w:t>
                  </w:r>
                </w:p>
              </w:tc>
            </w:tr>
            <w:tr w:rsidR="00273372" w:rsidRPr="009316AF" w14:paraId="2887DCBA" w14:textId="77777777" w:rsidTr="00D81377">
              <w:tc>
                <w:tcPr>
                  <w:tcW w:w="5341" w:type="dxa"/>
                </w:tcPr>
                <w:p w14:paraId="259EC5F9" w14:textId="77777777" w:rsidR="00273372" w:rsidRPr="009316AF" w:rsidRDefault="00273372" w:rsidP="00C676B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 w:rsidR="00513BF8">
                    <w:rPr>
                      <w:rFonts w:asciiTheme="minorHAnsi" w:hAnsiTheme="minorHAnsi"/>
                    </w:rPr>
                    <w:t xml:space="preserve"> </w:t>
                  </w:r>
                  <w:r w:rsidR="00C676BC" w:rsidRPr="00ED337E">
                    <w:rPr>
                      <w:rFonts w:asciiTheme="minorHAnsi" w:hAnsiTheme="minorHAnsi"/>
                    </w:rPr>
                    <w:t>1 August 2024</w:t>
                  </w:r>
                  <w:r w:rsidR="00DE447B" w:rsidRPr="00ED337E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  <w:tc>
                <w:tcPr>
                  <w:tcW w:w="5341" w:type="dxa"/>
                </w:tcPr>
                <w:p w14:paraId="571DAD22" w14:textId="1B8B3C56" w:rsidR="00273372" w:rsidRPr="009316AF" w:rsidRDefault="00273372" w:rsidP="00ED337E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Due For Review</w:t>
                  </w:r>
                  <w:r w:rsidRPr="00ED337E">
                    <w:rPr>
                      <w:rFonts w:asciiTheme="minorHAnsi" w:hAnsiTheme="minorHAnsi"/>
                    </w:rPr>
                    <w:t>:</w:t>
                  </w:r>
                  <w:r w:rsidR="00513BF8" w:rsidRPr="00ED337E">
                    <w:rPr>
                      <w:rFonts w:asciiTheme="minorHAnsi" w:hAnsiTheme="minorHAnsi"/>
                    </w:rPr>
                    <w:t xml:space="preserve"> </w:t>
                  </w:r>
                  <w:r w:rsidR="00ED337E" w:rsidRPr="00ED337E">
                    <w:rPr>
                      <w:rFonts w:asciiTheme="minorHAnsi" w:hAnsiTheme="minorHAnsi"/>
                    </w:rPr>
                    <w:t>August 2027</w:t>
                  </w:r>
                </w:p>
              </w:tc>
            </w:tr>
          </w:tbl>
          <w:p w14:paraId="7F2B8A35" w14:textId="4E607E70" w:rsidR="00273372" w:rsidRDefault="00273372">
            <w:pPr>
              <w:pStyle w:val="Footer"/>
              <w:jc w:val="center"/>
            </w:pPr>
            <w:r w:rsidRPr="00273372">
              <w:rPr>
                <w:sz w:val="16"/>
                <w:szCs w:val="16"/>
              </w:rPr>
              <w:t xml:space="preserve">Page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0F3935">
              <w:rPr>
                <w:b/>
                <w:bCs/>
                <w:noProof/>
                <w:sz w:val="16"/>
                <w:szCs w:val="16"/>
              </w:rPr>
              <w:t>3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  <w:r w:rsidRPr="00273372">
              <w:rPr>
                <w:sz w:val="16"/>
                <w:szCs w:val="16"/>
              </w:rPr>
              <w:t xml:space="preserve"> of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0F3935">
              <w:rPr>
                <w:b/>
                <w:bCs/>
                <w:noProof/>
                <w:sz w:val="16"/>
                <w:szCs w:val="16"/>
              </w:rPr>
              <w:t>3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9810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4577"/>
            </w:tblGrid>
            <w:tr w:rsidR="00B54EFE" w:rsidRPr="009316AF" w14:paraId="115D00F9" w14:textId="77777777" w:rsidTr="00C676BC">
              <w:tc>
                <w:tcPr>
                  <w:tcW w:w="5233" w:type="dxa"/>
                </w:tcPr>
                <w:p w14:paraId="631EDA6E" w14:textId="77777777" w:rsidR="00B54EFE" w:rsidRPr="009316AF" w:rsidRDefault="00B54EFE" w:rsidP="003314D8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Endorsed By: </w:t>
                  </w:r>
                  <w:r>
                    <w:rPr>
                      <w:rFonts w:asciiTheme="minorHAnsi" w:hAnsiTheme="minorHAnsi"/>
                    </w:rPr>
                    <w:t xml:space="preserve">  </w:t>
                  </w:r>
                  <w:r w:rsidR="00513BF8">
                    <w:rPr>
                      <w:rFonts w:asciiTheme="minorHAnsi" w:hAnsiTheme="minorHAnsi"/>
                    </w:rPr>
                    <w:t xml:space="preserve">NT </w:t>
                  </w:r>
                  <w:r w:rsidR="00D922D2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4577" w:type="dxa"/>
                </w:tcPr>
                <w:p w14:paraId="31AE937D" w14:textId="35CF0CB4" w:rsidR="00B54EFE" w:rsidRPr="009316AF" w:rsidRDefault="00ED337E" w:rsidP="00C676B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Effective Date: 15 August 2024</w:t>
                  </w:r>
                  <w:r w:rsidR="00C42E9C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  <w:tr w:rsidR="00B54EFE" w:rsidRPr="009316AF" w14:paraId="0A97E5A1" w14:textId="77777777" w:rsidTr="00C676BC">
              <w:tc>
                <w:tcPr>
                  <w:tcW w:w="5233" w:type="dxa"/>
                </w:tcPr>
                <w:p w14:paraId="37FB0CC6" w14:textId="208539B9" w:rsidR="00B54EFE" w:rsidRPr="009316AF" w:rsidRDefault="00B54EFE" w:rsidP="00ED337E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C676BC" w:rsidRPr="00ED337E">
                    <w:rPr>
                      <w:rFonts w:asciiTheme="minorHAnsi" w:hAnsiTheme="minorHAnsi"/>
                    </w:rPr>
                    <w:t>1</w:t>
                  </w:r>
                  <w:r w:rsidR="00ED337E" w:rsidRPr="00ED337E">
                    <w:rPr>
                      <w:rFonts w:asciiTheme="minorHAnsi" w:hAnsiTheme="minorHAnsi"/>
                    </w:rPr>
                    <w:t xml:space="preserve"> </w:t>
                  </w:r>
                  <w:r w:rsidR="00C676BC" w:rsidRPr="00ED337E">
                    <w:rPr>
                      <w:rFonts w:asciiTheme="minorHAnsi" w:hAnsiTheme="minorHAnsi"/>
                    </w:rPr>
                    <w:t>August 2024</w:t>
                  </w:r>
                </w:p>
              </w:tc>
              <w:tc>
                <w:tcPr>
                  <w:tcW w:w="4577" w:type="dxa"/>
                </w:tcPr>
                <w:p w14:paraId="3525EA3D" w14:textId="47E39D31" w:rsidR="00B54EFE" w:rsidRPr="009316AF" w:rsidRDefault="00B54EFE" w:rsidP="00ED337E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Due For Review</w:t>
                  </w:r>
                  <w:r w:rsidR="00C676BC" w:rsidRPr="00ED337E">
                    <w:rPr>
                      <w:rFonts w:asciiTheme="minorHAnsi" w:hAnsiTheme="minorHAnsi"/>
                    </w:rPr>
                    <w:t xml:space="preserve">: </w:t>
                  </w:r>
                  <w:r w:rsidR="00ED337E" w:rsidRPr="00ED337E">
                    <w:rPr>
                      <w:rFonts w:asciiTheme="minorHAnsi" w:hAnsiTheme="minorHAnsi"/>
                    </w:rPr>
                    <w:t>August 2027</w:t>
                  </w:r>
                </w:p>
              </w:tc>
            </w:tr>
          </w:tbl>
          <w:p w14:paraId="0050FF33" w14:textId="0F1367D4"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39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39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3F977" w14:textId="77777777" w:rsidR="000175BE" w:rsidRDefault="000175BE" w:rsidP="00FE17B9">
      <w:pPr>
        <w:spacing w:before="0" w:after="0"/>
      </w:pPr>
      <w:r>
        <w:separator/>
      </w:r>
    </w:p>
  </w:footnote>
  <w:footnote w:type="continuationSeparator" w:id="0">
    <w:p w14:paraId="7F12B951" w14:textId="77777777" w:rsidR="000175BE" w:rsidRDefault="000175BE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5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235"/>
    </w:tblGrid>
    <w:tr w:rsidR="00B54EFE" w:rsidRPr="00AE07BD" w14:paraId="7F99A4EA" w14:textId="77777777" w:rsidTr="00876564">
      <w:trPr>
        <w:trHeight w:val="274"/>
      </w:trPr>
      <w:tc>
        <w:tcPr>
          <w:tcW w:w="10235" w:type="dxa"/>
          <w:vAlign w:val="center"/>
        </w:tcPr>
        <w:p w14:paraId="00B6CB15" w14:textId="77777777" w:rsidR="00B54EFE" w:rsidRPr="00426B5B" w:rsidRDefault="00B54EFE" w:rsidP="009876E9">
          <w:pPr>
            <w:pStyle w:val="Header"/>
            <w:spacing w:before="0"/>
            <w:jc w:val="center"/>
            <w:rPr>
              <w:b/>
              <w:sz w:val="30"/>
              <w:szCs w:val="30"/>
            </w:rPr>
          </w:pPr>
          <w:r w:rsidRPr="00426B5B">
            <w:rPr>
              <w:rFonts w:asciiTheme="minorHAnsi" w:hAnsiTheme="minorHAnsi"/>
              <w:b/>
              <w:sz w:val="30"/>
              <w:szCs w:val="30"/>
            </w:rPr>
            <w:t>PHARMACY PREMISES COMMITTEE OF THE NORTHERN TERRITORY</w:t>
          </w:r>
        </w:p>
      </w:tc>
    </w:tr>
    <w:tr w:rsidR="00B54EFE" w:rsidRPr="00AE07BD" w14:paraId="16E6AFFE" w14:textId="77777777" w:rsidTr="00876564">
      <w:trPr>
        <w:trHeight w:val="321"/>
      </w:trPr>
      <w:tc>
        <w:tcPr>
          <w:tcW w:w="10235" w:type="dxa"/>
          <w:vAlign w:val="center"/>
        </w:tcPr>
        <w:p w14:paraId="44589F5E" w14:textId="77777777" w:rsidR="00B54EFE" w:rsidRPr="00426B5B" w:rsidRDefault="00265023" w:rsidP="002E588D">
          <w:pPr>
            <w:pStyle w:val="Header"/>
            <w:spacing w:before="0"/>
            <w:ind w:left="33"/>
            <w:jc w:val="center"/>
            <w:rPr>
              <w:b/>
              <w:sz w:val="30"/>
              <w:szCs w:val="30"/>
            </w:rPr>
          </w:pPr>
          <w:r w:rsidRPr="00426B5B">
            <w:rPr>
              <w:rFonts w:asciiTheme="minorHAnsi" w:hAnsiTheme="minorHAnsi" w:cs="Arial"/>
              <w:b/>
              <w:sz w:val="30"/>
              <w:szCs w:val="30"/>
            </w:rPr>
            <w:t>NF</w:t>
          </w:r>
          <w:r w:rsidR="006C1F88" w:rsidRPr="00426B5B">
            <w:rPr>
              <w:rFonts w:asciiTheme="minorHAnsi" w:hAnsiTheme="minorHAnsi" w:cs="Arial"/>
              <w:b/>
              <w:sz w:val="30"/>
              <w:szCs w:val="30"/>
            </w:rPr>
            <w:t>7 NOTIFICATION OF CLOSURE</w:t>
          </w:r>
          <w:r w:rsidR="00426B5B">
            <w:rPr>
              <w:rFonts w:asciiTheme="minorHAnsi" w:hAnsiTheme="minorHAnsi" w:cs="Arial"/>
              <w:b/>
              <w:sz w:val="30"/>
              <w:szCs w:val="30"/>
            </w:rPr>
            <w:t xml:space="preserve"> – PHARMACY BUSINESS &amp; PHARMACY DEPARTMENT</w:t>
          </w:r>
        </w:p>
      </w:tc>
    </w:tr>
  </w:tbl>
  <w:p w14:paraId="2AFA6AC2" w14:textId="77777777" w:rsidR="00B54EFE" w:rsidRPr="000705E3" w:rsidRDefault="00B54EFE" w:rsidP="000705E3">
    <w:pPr>
      <w:pStyle w:val="Header"/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28F4986"/>
    <w:multiLevelType w:val="hybridMultilevel"/>
    <w:tmpl w:val="BECE631E"/>
    <w:lvl w:ilvl="0" w:tplc="FDA43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E0C2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D26796D"/>
    <w:multiLevelType w:val="hybridMultilevel"/>
    <w:tmpl w:val="2A8ED738"/>
    <w:lvl w:ilvl="0" w:tplc="1A98B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62EFC"/>
    <w:multiLevelType w:val="hybridMultilevel"/>
    <w:tmpl w:val="CE9E0E0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C2386D"/>
    <w:multiLevelType w:val="hybridMultilevel"/>
    <w:tmpl w:val="BEDCA13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020BA"/>
    <w:multiLevelType w:val="hybridMultilevel"/>
    <w:tmpl w:val="53F69A3C"/>
    <w:lvl w:ilvl="0" w:tplc="8690A394">
      <w:start w:val="1"/>
      <w:numFmt w:val="decimal"/>
      <w:lvlText w:val="%1."/>
      <w:lvlJc w:val="left"/>
      <w:pPr>
        <w:ind w:left="-264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456" w:hanging="360"/>
      </w:pPr>
    </w:lvl>
    <w:lvl w:ilvl="2" w:tplc="0C09001B" w:tentative="1">
      <w:start w:val="1"/>
      <w:numFmt w:val="lowerRoman"/>
      <w:lvlText w:val="%3."/>
      <w:lvlJc w:val="right"/>
      <w:pPr>
        <w:ind w:left="1176" w:hanging="180"/>
      </w:pPr>
    </w:lvl>
    <w:lvl w:ilvl="3" w:tplc="0C09000F" w:tentative="1">
      <w:start w:val="1"/>
      <w:numFmt w:val="decimal"/>
      <w:lvlText w:val="%4."/>
      <w:lvlJc w:val="left"/>
      <w:pPr>
        <w:ind w:left="1896" w:hanging="360"/>
      </w:pPr>
    </w:lvl>
    <w:lvl w:ilvl="4" w:tplc="0C090019" w:tentative="1">
      <w:start w:val="1"/>
      <w:numFmt w:val="lowerLetter"/>
      <w:lvlText w:val="%5."/>
      <w:lvlJc w:val="left"/>
      <w:pPr>
        <w:ind w:left="2616" w:hanging="360"/>
      </w:pPr>
    </w:lvl>
    <w:lvl w:ilvl="5" w:tplc="0C09001B" w:tentative="1">
      <w:start w:val="1"/>
      <w:numFmt w:val="lowerRoman"/>
      <w:lvlText w:val="%6."/>
      <w:lvlJc w:val="right"/>
      <w:pPr>
        <w:ind w:left="3336" w:hanging="180"/>
      </w:pPr>
    </w:lvl>
    <w:lvl w:ilvl="6" w:tplc="0C09000F" w:tentative="1">
      <w:start w:val="1"/>
      <w:numFmt w:val="decimal"/>
      <w:lvlText w:val="%7."/>
      <w:lvlJc w:val="left"/>
      <w:pPr>
        <w:ind w:left="4056" w:hanging="360"/>
      </w:pPr>
    </w:lvl>
    <w:lvl w:ilvl="7" w:tplc="0C090019" w:tentative="1">
      <w:start w:val="1"/>
      <w:numFmt w:val="lowerLetter"/>
      <w:lvlText w:val="%8."/>
      <w:lvlJc w:val="left"/>
      <w:pPr>
        <w:ind w:left="4776" w:hanging="360"/>
      </w:pPr>
    </w:lvl>
    <w:lvl w:ilvl="8" w:tplc="0C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1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95999"/>
    <w:multiLevelType w:val="hybridMultilevel"/>
    <w:tmpl w:val="1F3A5922"/>
    <w:lvl w:ilvl="0" w:tplc="E77079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9"/>
    <w:rsid w:val="00001642"/>
    <w:rsid w:val="000175BE"/>
    <w:rsid w:val="000312B4"/>
    <w:rsid w:val="000464D4"/>
    <w:rsid w:val="000705E3"/>
    <w:rsid w:val="00072840"/>
    <w:rsid w:val="00095C81"/>
    <w:rsid w:val="000B64F2"/>
    <w:rsid w:val="000D78D2"/>
    <w:rsid w:val="000E64DE"/>
    <w:rsid w:val="000F3935"/>
    <w:rsid w:val="000F747C"/>
    <w:rsid w:val="00115F2C"/>
    <w:rsid w:val="00124BC2"/>
    <w:rsid w:val="001663BD"/>
    <w:rsid w:val="001A2FC9"/>
    <w:rsid w:val="001A3B6F"/>
    <w:rsid w:val="001A3C49"/>
    <w:rsid w:val="002233BD"/>
    <w:rsid w:val="0023181A"/>
    <w:rsid w:val="00265023"/>
    <w:rsid w:val="00273372"/>
    <w:rsid w:val="002E588D"/>
    <w:rsid w:val="002F1E33"/>
    <w:rsid w:val="0030552E"/>
    <w:rsid w:val="003314D8"/>
    <w:rsid w:val="003524C0"/>
    <w:rsid w:val="00387637"/>
    <w:rsid w:val="00390A7B"/>
    <w:rsid w:val="003A15F5"/>
    <w:rsid w:val="003B166F"/>
    <w:rsid w:val="003F1549"/>
    <w:rsid w:val="003F1676"/>
    <w:rsid w:val="003F2911"/>
    <w:rsid w:val="00406DA5"/>
    <w:rsid w:val="00417BF2"/>
    <w:rsid w:val="00421D99"/>
    <w:rsid w:val="00426B5B"/>
    <w:rsid w:val="004473A5"/>
    <w:rsid w:val="00457502"/>
    <w:rsid w:val="00467AA2"/>
    <w:rsid w:val="00496948"/>
    <w:rsid w:val="004C20DC"/>
    <w:rsid w:val="00511883"/>
    <w:rsid w:val="00513BF8"/>
    <w:rsid w:val="00592ADE"/>
    <w:rsid w:val="006223C8"/>
    <w:rsid w:val="00624B25"/>
    <w:rsid w:val="006C1F88"/>
    <w:rsid w:val="006F0F5B"/>
    <w:rsid w:val="00707E8E"/>
    <w:rsid w:val="00724FC0"/>
    <w:rsid w:val="0074445C"/>
    <w:rsid w:val="007A35C7"/>
    <w:rsid w:val="007B58C1"/>
    <w:rsid w:val="007D5122"/>
    <w:rsid w:val="008343D3"/>
    <w:rsid w:val="008373D2"/>
    <w:rsid w:val="008539C4"/>
    <w:rsid w:val="0086059A"/>
    <w:rsid w:val="00870EB2"/>
    <w:rsid w:val="00876564"/>
    <w:rsid w:val="008B3A1C"/>
    <w:rsid w:val="008F6030"/>
    <w:rsid w:val="008F6CA9"/>
    <w:rsid w:val="009415B0"/>
    <w:rsid w:val="00952736"/>
    <w:rsid w:val="00955FEA"/>
    <w:rsid w:val="009D2C8D"/>
    <w:rsid w:val="00A16FEE"/>
    <w:rsid w:val="00A85AC4"/>
    <w:rsid w:val="00AC58F4"/>
    <w:rsid w:val="00B334C2"/>
    <w:rsid w:val="00B54EFE"/>
    <w:rsid w:val="00B804D0"/>
    <w:rsid w:val="00B879CF"/>
    <w:rsid w:val="00BC5B4D"/>
    <w:rsid w:val="00BD5879"/>
    <w:rsid w:val="00BF2F27"/>
    <w:rsid w:val="00C014BB"/>
    <w:rsid w:val="00C06940"/>
    <w:rsid w:val="00C1070B"/>
    <w:rsid w:val="00C36029"/>
    <w:rsid w:val="00C42E9C"/>
    <w:rsid w:val="00C4706D"/>
    <w:rsid w:val="00C63E6F"/>
    <w:rsid w:val="00C676BC"/>
    <w:rsid w:val="00C72423"/>
    <w:rsid w:val="00C74EE9"/>
    <w:rsid w:val="00C87A05"/>
    <w:rsid w:val="00C918A9"/>
    <w:rsid w:val="00CA1359"/>
    <w:rsid w:val="00CA5F72"/>
    <w:rsid w:val="00D32680"/>
    <w:rsid w:val="00D55DC2"/>
    <w:rsid w:val="00D75526"/>
    <w:rsid w:val="00D922D2"/>
    <w:rsid w:val="00DE447B"/>
    <w:rsid w:val="00E349CD"/>
    <w:rsid w:val="00EA6112"/>
    <w:rsid w:val="00ED337E"/>
    <w:rsid w:val="00F305CD"/>
    <w:rsid w:val="00F40AA7"/>
    <w:rsid w:val="00F72D3D"/>
    <w:rsid w:val="00F84C54"/>
    <w:rsid w:val="00FB2BB4"/>
    <w:rsid w:val="00FD78DA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FDD1B"/>
  <w15:docId w15:val="{DEE45588-55AB-4FED-92EA-592B0938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0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7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70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70B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07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.nt.gov.au/Legislation/MEDICINES-POISONS-AND-THERAPEUTIC-GOODS-REGULATIONS-201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pcregistrar@nt.gov.au" TargetMode="External"/><Relationship Id="rId12" Type="http://schemas.openxmlformats.org/officeDocument/2006/relationships/hyperlink" Target="https://legislation.nt.gov.au/Legislation/HEALTH-PRACTITIONERS-ACT-200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officeapps.live.com/op/view.aspx?src=https%3A%2F%2Fhealth.nt.gov.au%2F__data%2Fassets%2Fword_doc%2F0006%2F1294278%2Fdrug-loss-incident-or-discrepancy-report-form.docx&amp;wdOrigin=BROWSELI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egislation.nt.gov.au/Legislation/MEDICINES-POISONS-AND-THERAPEUTIC-GOODS-ACT-2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health.gov.au/internet/main/publishing.nsf/Content/deactivation-of-an-approvedppharmacist-guidelines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cp:lastModifiedBy>Peter Kern</cp:lastModifiedBy>
  <cp:revision>4</cp:revision>
  <cp:lastPrinted>2018-09-20T04:33:00Z</cp:lastPrinted>
  <dcterms:created xsi:type="dcterms:W3CDTF">2024-08-06T02:23:00Z</dcterms:created>
  <dcterms:modified xsi:type="dcterms:W3CDTF">2024-08-15T04:24:00Z</dcterms:modified>
</cp:coreProperties>
</file>