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D4CB2" w:rsidRPr="00CB1E33" w14:paraId="06A43F57" w14:textId="77777777" w:rsidTr="00EB2805">
        <w:trPr>
          <w:trHeight w:val="430"/>
        </w:trPr>
        <w:tc>
          <w:tcPr>
            <w:tcW w:w="10485" w:type="dxa"/>
          </w:tcPr>
          <w:p w14:paraId="459F2D93" w14:textId="77777777" w:rsidR="000D4CB2" w:rsidRPr="0081379E" w:rsidRDefault="005369E3" w:rsidP="00EB2805">
            <w:pPr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GoBack"/>
            <w:bookmarkEnd w:id="0"/>
            <w:r w:rsidRPr="0081379E">
              <w:rPr>
                <w:rFonts w:asciiTheme="minorHAnsi" w:hAnsiTheme="minorHAnsi"/>
                <w:b/>
                <w:sz w:val="28"/>
                <w:szCs w:val="28"/>
              </w:rPr>
              <w:t>GENERAL INFORMATION</w:t>
            </w:r>
          </w:p>
        </w:tc>
      </w:tr>
      <w:tr w:rsidR="000D4CB2" w:rsidRPr="00CB1E33" w14:paraId="40BC2E1E" w14:textId="77777777" w:rsidTr="0096155D">
        <w:trPr>
          <w:trHeight w:val="736"/>
        </w:trPr>
        <w:tc>
          <w:tcPr>
            <w:tcW w:w="10485" w:type="dxa"/>
          </w:tcPr>
          <w:p w14:paraId="661EA566" w14:textId="36E9251F" w:rsidR="003C1739" w:rsidRPr="00FD5C85" w:rsidRDefault="0096155D" w:rsidP="00EB2805">
            <w:pPr>
              <w:spacing w:befor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Information provided in this guideline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is intended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as general information to all pharmacy business owners in the Northern Territory. </w:t>
            </w:r>
            <w:r w:rsidR="00FD6C49">
              <w:rPr>
                <w:rFonts w:ascii="Calibri" w:hAnsi="Calibri" w:cs="Calibri"/>
                <w:sz w:val="24"/>
                <w:szCs w:val="24"/>
              </w:rPr>
              <w:t xml:space="preserve">For information of a specific nature relating to your pharmacy business, the Pharmacy Premises Committee strongly suggests seeking independent legal advice. </w:t>
            </w:r>
            <w:r w:rsidR="00BA3462" w:rsidRPr="00FD5C85">
              <w:rPr>
                <w:rFonts w:asciiTheme="minorHAnsi" w:hAnsiTheme="minorHAnsi"/>
                <w:sz w:val="24"/>
                <w:szCs w:val="24"/>
              </w:rPr>
              <w:t xml:space="preserve">This policy </w:t>
            </w:r>
            <w:proofErr w:type="gramStart"/>
            <w:r w:rsidR="00BA3462" w:rsidRPr="00FD5C85">
              <w:rPr>
                <w:rFonts w:asciiTheme="minorHAnsi" w:hAnsiTheme="minorHAnsi"/>
                <w:sz w:val="24"/>
                <w:szCs w:val="24"/>
              </w:rPr>
              <w:t>is made</w:t>
            </w:r>
            <w:proofErr w:type="gramEnd"/>
            <w:r w:rsidR="00BA3462" w:rsidRPr="00FD5C85">
              <w:rPr>
                <w:rFonts w:asciiTheme="minorHAnsi" w:hAnsiTheme="minorHAnsi"/>
                <w:sz w:val="24"/>
                <w:szCs w:val="24"/>
              </w:rPr>
              <w:t xml:space="preserve"> pursuant to Section 18E of the </w:t>
            </w:r>
            <w:r w:rsidR="00BA3462" w:rsidRPr="00FD5C85">
              <w:rPr>
                <w:rFonts w:asciiTheme="minorHAnsi" w:hAnsiTheme="minorHAnsi"/>
                <w:i/>
                <w:sz w:val="24"/>
                <w:szCs w:val="24"/>
              </w:rPr>
              <w:t>Health Practitioners Act</w:t>
            </w:r>
            <w:r w:rsidR="00AB3B15">
              <w:rPr>
                <w:rFonts w:asciiTheme="minorHAnsi" w:hAnsiTheme="minorHAnsi"/>
                <w:i/>
                <w:sz w:val="24"/>
                <w:szCs w:val="24"/>
              </w:rPr>
              <w:t xml:space="preserve"> 2004</w:t>
            </w:r>
            <w:r w:rsidR="00BA3462" w:rsidRPr="00FD5C85">
              <w:rPr>
                <w:rFonts w:asciiTheme="minorHAnsi" w:hAnsiTheme="minorHAnsi"/>
                <w:i/>
                <w:sz w:val="24"/>
                <w:szCs w:val="24"/>
              </w:rPr>
              <w:t xml:space="preserve"> (HPA</w:t>
            </w:r>
            <w:r w:rsidR="00BA3462" w:rsidRPr="00FD5C85">
              <w:rPr>
                <w:rFonts w:asciiTheme="minorHAnsi" w:hAnsiTheme="minorHAnsi"/>
                <w:sz w:val="24"/>
                <w:szCs w:val="24"/>
              </w:rPr>
              <w:t xml:space="preserve">) to facilitate compliance with the </w:t>
            </w:r>
            <w:r w:rsidR="00BA3462" w:rsidRPr="00FD5C85">
              <w:rPr>
                <w:rFonts w:asciiTheme="minorHAnsi" w:hAnsiTheme="minorHAnsi"/>
                <w:i/>
                <w:sz w:val="24"/>
                <w:szCs w:val="24"/>
              </w:rPr>
              <w:t>HPA.</w:t>
            </w:r>
          </w:p>
        </w:tc>
      </w:tr>
    </w:tbl>
    <w:p w14:paraId="0E421C9A" w14:textId="77777777" w:rsidR="00AB5146" w:rsidRPr="00B8153D" w:rsidRDefault="00AB5146" w:rsidP="00EB2805">
      <w:pPr>
        <w:spacing w:before="0" w:after="0"/>
        <w:rPr>
          <w:rFonts w:cs="Arial"/>
          <w:sz w:val="12"/>
          <w:szCs w:val="12"/>
        </w:rPr>
      </w:pPr>
    </w:p>
    <w:tbl>
      <w:tblPr>
        <w:tblStyle w:val="TableGrid"/>
        <w:tblW w:w="0" w:type="auto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106CCE" w:rsidRPr="00CB1E33" w14:paraId="2D792E0B" w14:textId="77777777" w:rsidTr="000B7884">
        <w:trPr>
          <w:trHeight w:val="365"/>
        </w:trPr>
        <w:tc>
          <w:tcPr>
            <w:tcW w:w="10490" w:type="dxa"/>
          </w:tcPr>
          <w:p w14:paraId="19500269" w14:textId="77777777" w:rsidR="00106CCE" w:rsidRPr="0081379E" w:rsidRDefault="005369E3" w:rsidP="00EB2805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81379E">
              <w:rPr>
                <w:rFonts w:asciiTheme="minorHAnsi" w:hAnsiTheme="minorHAnsi" w:cs="Arial"/>
                <w:b/>
                <w:sz w:val="28"/>
                <w:szCs w:val="28"/>
              </w:rPr>
              <w:t>PHARMACY BUSINESS</w:t>
            </w:r>
          </w:p>
        </w:tc>
      </w:tr>
      <w:tr w:rsidR="00106CCE" w:rsidRPr="00CB1E33" w14:paraId="07527963" w14:textId="77777777" w:rsidTr="000B7884">
        <w:trPr>
          <w:trHeight w:val="365"/>
        </w:trPr>
        <w:tc>
          <w:tcPr>
            <w:tcW w:w="10490" w:type="dxa"/>
          </w:tcPr>
          <w:p w14:paraId="1CE822CE" w14:textId="7A7610B5" w:rsidR="00BA3462" w:rsidRDefault="0014218B" w:rsidP="00EB2805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137729">
              <w:rPr>
                <w:rFonts w:asciiTheme="minorHAnsi" w:hAnsiTheme="minorHAnsi" w:cs="Arial"/>
                <w:sz w:val="24"/>
                <w:szCs w:val="24"/>
              </w:rPr>
              <w:t xml:space="preserve">Pursuant to the </w:t>
            </w:r>
            <w:r w:rsidRPr="0090753C">
              <w:rPr>
                <w:rFonts w:asciiTheme="minorHAnsi" w:hAnsiTheme="minorHAnsi" w:cs="Arial"/>
                <w:i/>
                <w:sz w:val="24"/>
                <w:szCs w:val="24"/>
              </w:rPr>
              <w:t>HPA</w:t>
            </w:r>
            <w:r w:rsidR="00882911">
              <w:rPr>
                <w:rFonts w:asciiTheme="minorHAnsi" w:hAnsiTheme="minorHAnsi" w:cs="Arial"/>
                <w:i/>
                <w:sz w:val="24"/>
                <w:szCs w:val="24"/>
              </w:rPr>
              <w:t>,</w:t>
            </w:r>
            <w:r w:rsidRPr="0013772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C42341">
              <w:rPr>
                <w:rFonts w:asciiTheme="minorHAnsi" w:hAnsiTheme="minorHAnsi" w:cs="Arial"/>
                <w:sz w:val="24"/>
                <w:szCs w:val="24"/>
              </w:rPr>
              <w:t xml:space="preserve">only </w:t>
            </w:r>
            <w:r w:rsidRPr="00137729">
              <w:rPr>
                <w:rFonts w:asciiTheme="minorHAnsi" w:hAnsiTheme="minorHAnsi" w:cs="Arial"/>
                <w:sz w:val="24"/>
                <w:szCs w:val="24"/>
              </w:rPr>
              <w:t>a</w:t>
            </w:r>
            <w:r w:rsidR="00BA3462">
              <w:rPr>
                <w:rFonts w:asciiTheme="minorHAnsi" w:hAnsiTheme="minorHAnsi" w:cs="Arial"/>
                <w:sz w:val="24"/>
                <w:szCs w:val="24"/>
              </w:rPr>
              <w:t>n authorised</w:t>
            </w:r>
            <w:r w:rsidR="00475A13">
              <w:rPr>
                <w:rFonts w:asciiTheme="minorHAnsi" w:hAnsiTheme="minorHAnsi" w:cs="Arial"/>
                <w:sz w:val="24"/>
                <w:szCs w:val="24"/>
              </w:rPr>
              <w:t xml:space="preserve"> pharmacy</w:t>
            </w:r>
            <w:r w:rsidR="00BA3462">
              <w:rPr>
                <w:rFonts w:asciiTheme="minorHAnsi" w:hAnsiTheme="minorHAnsi" w:cs="Arial"/>
                <w:sz w:val="24"/>
                <w:szCs w:val="24"/>
              </w:rPr>
              <w:t xml:space="preserve"> business owner </w:t>
            </w:r>
            <w:r w:rsidR="00C42341">
              <w:rPr>
                <w:rFonts w:asciiTheme="minorHAnsi" w:hAnsiTheme="minorHAnsi" w:cs="Arial"/>
                <w:sz w:val="24"/>
                <w:szCs w:val="24"/>
              </w:rPr>
              <w:t xml:space="preserve">can own a pharmacy business. Authorised </w:t>
            </w:r>
            <w:r w:rsidR="00475A13">
              <w:rPr>
                <w:rFonts w:asciiTheme="minorHAnsi" w:hAnsiTheme="minorHAnsi" w:cs="Arial"/>
                <w:sz w:val="24"/>
                <w:szCs w:val="24"/>
              </w:rPr>
              <w:t xml:space="preserve">pharmacy business owner </w:t>
            </w:r>
            <w:r w:rsidR="00BA3462">
              <w:rPr>
                <w:rFonts w:asciiTheme="minorHAnsi" w:hAnsiTheme="minorHAnsi" w:cs="Arial"/>
                <w:sz w:val="24"/>
                <w:szCs w:val="24"/>
              </w:rPr>
              <w:t xml:space="preserve">means: </w:t>
            </w:r>
          </w:p>
          <w:p w14:paraId="108C0544" w14:textId="77777777" w:rsidR="0014218B" w:rsidRPr="00BA3462" w:rsidRDefault="0014218B" w:rsidP="000B7884">
            <w:pPr>
              <w:pStyle w:val="ListParagraph"/>
              <w:numPr>
                <w:ilvl w:val="0"/>
                <w:numId w:val="11"/>
              </w:numPr>
              <w:tabs>
                <w:tab w:val="left" w:pos="589"/>
              </w:tabs>
              <w:spacing w:before="0" w:after="0"/>
              <w:ind w:left="0" w:right="3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BA3462">
              <w:rPr>
                <w:rFonts w:asciiTheme="minorHAnsi" w:hAnsiTheme="minorHAnsi" w:cs="Arial"/>
                <w:sz w:val="24"/>
                <w:szCs w:val="24"/>
              </w:rPr>
              <w:t>a pharmacist;</w:t>
            </w:r>
          </w:p>
          <w:p w14:paraId="66B2BFAB" w14:textId="77777777" w:rsidR="0014218B" w:rsidRPr="00137729" w:rsidRDefault="0014218B" w:rsidP="000B7884">
            <w:pPr>
              <w:pStyle w:val="ListParagraph"/>
              <w:numPr>
                <w:ilvl w:val="0"/>
                <w:numId w:val="11"/>
              </w:numPr>
              <w:tabs>
                <w:tab w:val="left" w:pos="589"/>
              </w:tabs>
              <w:spacing w:before="0"/>
              <w:ind w:left="0" w:right="3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137729">
              <w:rPr>
                <w:rFonts w:asciiTheme="minorHAnsi" w:hAnsiTheme="minorHAnsi" w:cs="Arial"/>
                <w:sz w:val="24"/>
                <w:szCs w:val="24"/>
              </w:rPr>
              <w:t>a partnership of which all partners are pharmacists;</w:t>
            </w:r>
          </w:p>
          <w:p w14:paraId="726FE546" w14:textId="77777777" w:rsidR="00A573B7" w:rsidRDefault="0014218B" w:rsidP="000B7884">
            <w:pPr>
              <w:pStyle w:val="ListParagraph"/>
              <w:numPr>
                <w:ilvl w:val="0"/>
                <w:numId w:val="11"/>
              </w:numPr>
              <w:tabs>
                <w:tab w:val="left" w:pos="589"/>
              </w:tabs>
              <w:spacing w:before="0"/>
              <w:ind w:left="0" w:right="3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137729">
              <w:rPr>
                <w:rFonts w:asciiTheme="minorHAnsi" w:hAnsiTheme="minorHAnsi" w:cs="Arial"/>
                <w:sz w:val="24"/>
                <w:szCs w:val="24"/>
              </w:rPr>
              <w:t>a corporation of which all shareholders and directors are pharmacists;</w:t>
            </w:r>
          </w:p>
          <w:p w14:paraId="49BBACAF" w14:textId="6D2023FE" w:rsidR="0014218B" w:rsidRPr="00137729" w:rsidRDefault="00A573B7" w:rsidP="000B7884">
            <w:pPr>
              <w:pStyle w:val="ListParagraph"/>
              <w:numPr>
                <w:ilvl w:val="0"/>
                <w:numId w:val="11"/>
              </w:numPr>
              <w:tabs>
                <w:tab w:val="left" w:pos="589"/>
              </w:tabs>
              <w:spacing w:before="0"/>
              <w:ind w:left="634" w:right="3" w:hanging="634"/>
              <w:rPr>
                <w:rFonts w:asciiTheme="minorHAnsi" w:hAnsiTheme="minorHAnsi" w:cs="Arial"/>
                <w:sz w:val="24"/>
                <w:szCs w:val="24"/>
              </w:rPr>
            </w:pPr>
            <w:r w:rsidRPr="00137729">
              <w:rPr>
                <w:rFonts w:asciiTheme="minorHAnsi" w:hAnsiTheme="minorHAnsi" w:cs="Arial"/>
                <w:sz w:val="24"/>
                <w:szCs w:val="24"/>
              </w:rPr>
              <w:t>an Aboriginal health service or friendly society that has been granted an exemption by the</w:t>
            </w:r>
            <w:r w:rsidR="000B7884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137729">
              <w:rPr>
                <w:rFonts w:asciiTheme="minorHAnsi" w:hAnsiTheme="minorHAnsi" w:cs="Arial"/>
                <w:sz w:val="24"/>
                <w:szCs w:val="24"/>
              </w:rPr>
              <w:t>Minister</w:t>
            </w:r>
            <w:r w:rsidR="0014218B" w:rsidRPr="0013772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4F0E2402" w14:textId="2F36A1BB" w:rsidR="00475A13" w:rsidRDefault="00475A13" w:rsidP="00EB2805">
            <w:pPr>
              <w:spacing w:before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Pharmacist means a person registered under the Health Practitioner Regulation National Law to practise in the pharmacy profession (other than as a student).</w:t>
            </w:r>
          </w:p>
          <w:p w14:paraId="042FF633" w14:textId="38347235" w:rsidR="005C734A" w:rsidRDefault="00BA3462" w:rsidP="000B7884">
            <w:pPr>
              <w:tabs>
                <w:tab w:val="left" w:pos="67"/>
              </w:tabs>
              <w:spacing w:before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137729">
              <w:rPr>
                <w:rFonts w:asciiTheme="minorHAnsi" w:hAnsiTheme="minorHAnsi" w:cs="Arial"/>
                <w:sz w:val="24"/>
                <w:szCs w:val="24"/>
              </w:rPr>
              <w:t xml:space="preserve">Pursuant to the </w:t>
            </w:r>
            <w:proofErr w:type="gramStart"/>
            <w:r w:rsidRPr="0090753C">
              <w:rPr>
                <w:rFonts w:asciiTheme="minorHAnsi" w:hAnsiTheme="minorHAnsi" w:cs="Arial"/>
                <w:i/>
                <w:sz w:val="24"/>
                <w:szCs w:val="24"/>
              </w:rPr>
              <w:t>HPA</w:t>
            </w:r>
            <w:proofErr w:type="gramEnd"/>
            <w:r w:rsidRPr="00137729">
              <w:rPr>
                <w:rFonts w:asciiTheme="minorHAnsi" w:hAnsiTheme="minorHAnsi" w:cs="Arial"/>
                <w:sz w:val="24"/>
                <w:szCs w:val="24"/>
              </w:rPr>
              <w:t xml:space="preserve"> a person must not own or exercise </w:t>
            </w:r>
            <w:r w:rsidRPr="005C734A">
              <w:rPr>
                <w:rFonts w:asciiTheme="minorHAnsi" w:hAnsiTheme="minorHAnsi" w:cs="Arial"/>
                <w:b/>
                <w:sz w:val="24"/>
                <w:szCs w:val="24"/>
              </w:rPr>
              <w:t>any</w:t>
            </w:r>
            <w:r w:rsidRPr="00137729">
              <w:rPr>
                <w:rFonts w:asciiTheme="minorHAnsi" w:hAnsiTheme="minorHAnsi" w:cs="Arial"/>
                <w:sz w:val="24"/>
                <w:szCs w:val="24"/>
              </w:rPr>
              <w:t xml:space="preserve"> control over a ph</w:t>
            </w:r>
            <w:r>
              <w:rPr>
                <w:rFonts w:asciiTheme="minorHAnsi" w:hAnsiTheme="minorHAnsi" w:cs="Arial"/>
                <w:sz w:val="24"/>
                <w:szCs w:val="24"/>
              </w:rPr>
              <w:t>armacy business unless they are an authorised business owner, unless the</w:t>
            </w:r>
            <w:r w:rsidRPr="00137729">
              <w:rPr>
                <w:rFonts w:asciiTheme="minorHAnsi" w:hAnsiTheme="minorHAnsi" w:cs="Arial"/>
                <w:sz w:val="24"/>
                <w:szCs w:val="24"/>
              </w:rPr>
              <w:t xml:space="preserve"> person was </w:t>
            </w:r>
            <w:r>
              <w:rPr>
                <w:rFonts w:asciiTheme="minorHAnsi" w:hAnsiTheme="minorHAnsi" w:cs="Arial"/>
                <w:sz w:val="24"/>
                <w:szCs w:val="24"/>
              </w:rPr>
              <w:t>and continues to be the</w:t>
            </w:r>
            <w:r w:rsidRPr="00137729">
              <w:rPr>
                <w:rFonts w:asciiTheme="minorHAnsi" w:hAnsiTheme="minorHAnsi" w:cs="Arial"/>
                <w:sz w:val="24"/>
                <w:szCs w:val="24"/>
              </w:rPr>
              <w:t xml:space="preserve"> owner of a pharmacy business prior to 23 February 2005.</w:t>
            </w:r>
          </w:p>
          <w:p w14:paraId="3BD7B89D" w14:textId="17A3445F" w:rsidR="005C734A" w:rsidRPr="00B8153D" w:rsidRDefault="005C734A" w:rsidP="000B7884">
            <w:pPr>
              <w:pStyle w:val="BodyText"/>
              <w:tabs>
                <w:tab w:val="left" w:pos="67"/>
              </w:tabs>
              <w:ind w:right="207"/>
              <w:rPr>
                <w:rFonts w:asciiTheme="minorHAnsi" w:hAnsiTheme="minorHAnsi" w:cstheme="minorHAnsi"/>
                <w:sz w:val="24"/>
                <w:szCs w:val="24"/>
              </w:rPr>
            </w:pPr>
            <w:r w:rsidRPr="00B8153D">
              <w:rPr>
                <w:rFonts w:asciiTheme="minorHAnsi" w:hAnsiTheme="minorHAnsi" w:cstheme="minorHAnsi"/>
                <w:sz w:val="24"/>
                <w:szCs w:val="24"/>
              </w:rPr>
              <w:t xml:space="preserve">If a trust is involved in the ownership of a pharmacy business (e.g. the authorised pharmacy business owner is acting as a trustee) a copy of the relevant trust deed(s) </w:t>
            </w:r>
            <w:proofErr w:type="gramStart"/>
            <w:r w:rsidRPr="00B8153D">
              <w:rPr>
                <w:rFonts w:asciiTheme="minorHAnsi" w:hAnsiTheme="minorHAnsi" w:cstheme="minorHAnsi"/>
                <w:sz w:val="24"/>
                <w:szCs w:val="24"/>
              </w:rPr>
              <w:t>must be submitted</w:t>
            </w:r>
            <w:proofErr w:type="gramEnd"/>
            <w:r w:rsidRPr="00B8153D">
              <w:rPr>
                <w:rFonts w:asciiTheme="minorHAnsi" w:hAnsiTheme="minorHAnsi" w:cstheme="minorHAnsi"/>
                <w:sz w:val="24"/>
                <w:szCs w:val="24"/>
              </w:rPr>
              <w:t xml:space="preserve"> to the Pharmacy </w:t>
            </w:r>
            <w:r w:rsidR="0096155D">
              <w:rPr>
                <w:rFonts w:asciiTheme="minorHAnsi" w:hAnsiTheme="minorHAnsi" w:cstheme="minorHAnsi"/>
                <w:sz w:val="24"/>
                <w:szCs w:val="24"/>
              </w:rPr>
              <w:t xml:space="preserve">Premises </w:t>
            </w:r>
            <w:r w:rsidRPr="00B8153D">
              <w:rPr>
                <w:rFonts w:asciiTheme="minorHAnsi" w:hAnsiTheme="minorHAnsi" w:cstheme="minorHAnsi"/>
                <w:sz w:val="24"/>
                <w:szCs w:val="24"/>
              </w:rPr>
              <w:t>Committee for review</w:t>
            </w:r>
            <w:r w:rsidR="000B788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B8153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DD2217F" w14:textId="77777777" w:rsidR="005C734A" w:rsidRPr="00557B2E" w:rsidRDefault="005C734A" w:rsidP="00EB2805">
            <w:pPr>
              <w:pStyle w:val="BodyText"/>
              <w:ind w:right="207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61240F0" w14:textId="77777777" w:rsidR="005C734A" w:rsidRPr="00B8153D" w:rsidRDefault="005C734A" w:rsidP="00EB2805">
            <w:pPr>
              <w:widowControl w:val="0"/>
              <w:autoSpaceDE w:val="0"/>
              <w:autoSpaceDN w:val="0"/>
              <w:spacing w:before="0" w:after="0"/>
              <w:ind w:right="213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</w:pPr>
            <w:r w:rsidRPr="00B8153D"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  <w:t>A pharmacy trust must not have as a trustee or beneficiary a person or company unless that person or company is:</w:t>
            </w:r>
          </w:p>
          <w:p w14:paraId="2552069D" w14:textId="77777777" w:rsidR="005C734A" w:rsidRPr="00B8153D" w:rsidRDefault="005C734A" w:rsidP="00EB2805">
            <w:pPr>
              <w:widowControl w:val="0"/>
              <w:numPr>
                <w:ilvl w:val="1"/>
                <w:numId w:val="21"/>
              </w:numPr>
              <w:tabs>
                <w:tab w:val="left" w:pos="634"/>
              </w:tabs>
              <w:autoSpaceDE w:val="0"/>
              <w:autoSpaceDN w:val="0"/>
              <w:spacing w:before="0" w:after="0" w:line="250" w:lineRule="exact"/>
              <w:ind w:left="0" w:firstLine="0"/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</w:pPr>
            <w:r w:rsidRPr="00B8153D"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  <w:t>a registered pharmacist;</w:t>
            </w:r>
            <w:r w:rsidRPr="00B8153D">
              <w:rPr>
                <w:rFonts w:asciiTheme="minorHAnsi" w:eastAsia="Arial" w:hAnsiTheme="minorHAnsi" w:cstheme="minorHAnsi"/>
                <w:spacing w:val="-2"/>
                <w:sz w:val="24"/>
                <w:szCs w:val="24"/>
                <w:lang w:bidi="en-AU"/>
              </w:rPr>
              <w:t xml:space="preserve"> </w:t>
            </w:r>
            <w:r w:rsidRPr="00B8153D"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  <w:t>or</w:t>
            </w:r>
          </w:p>
          <w:p w14:paraId="56D47D31" w14:textId="77777777" w:rsidR="005C734A" w:rsidRPr="00B8153D" w:rsidRDefault="005C734A" w:rsidP="00EB2805">
            <w:pPr>
              <w:widowControl w:val="0"/>
              <w:numPr>
                <w:ilvl w:val="1"/>
                <w:numId w:val="21"/>
              </w:numPr>
              <w:tabs>
                <w:tab w:val="left" w:pos="634"/>
              </w:tabs>
              <w:autoSpaceDE w:val="0"/>
              <w:autoSpaceDN w:val="0"/>
              <w:spacing w:before="0" w:after="0" w:line="250" w:lineRule="exact"/>
              <w:ind w:left="0" w:firstLine="0"/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</w:pPr>
            <w:r w:rsidRPr="00B8153D"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  <w:t>a partnership of which all partners are registered pharmacists; or</w:t>
            </w:r>
          </w:p>
          <w:p w14:paraId="30D39792" w14:textId="77777777" w:rsidR="005C734A" w:rsidRPr="00B8153D" w:rsidRDefault="005C734A" w:rsidP="00EB2805">
            <w:pPr>
              <w:widowControl w:val="0"/>
              <w:numPr>
                <w:ilvl w:val="1"/>
                <w:numId w:val="21"/>
              </w:numPr>
              <w:tabs>
                <w:tab w:val="left" w:pos="634"/>
              </w:tabs>
              <w:autoSpaceDE w:val="0"/>
              <w:autoSpaceDN w:val="0"/>
              <w:spacing w:before="0" w:after="0" w:line="252" w:lineRule="exact"/>
              <w:ind w:left="0" w:firstLine="0"/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</w:pPr>
            <w:r w:rsidRPr="00B8153D"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  <w:t>a company registered under the Corporations Act</w:t>
            </w:r>
            <w:r w:rsidRPr="00B8153D">
              <w:rPr>
                <w:rFonts w:asciiTheme="minorHAnsi" w:eastAsia="Arial" w:hAnsiTheme="minorHAnsi" w:cstheme="minorHAnsi"/>
                <w:spacing w:val="-13"/>
                <w:sz w:val="24"/>
                <w:szCs w:val="24"/>
                <w:lang w:bidi="en-AU"/>
              </w:rPr>
              <w:t xml:space="preserve"> </w:t>
            </w:r>
            <w:r w:rsidRPr="00B8153D"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  <w:t>-</w:t>
            </w:r>
          </w:p>
          <w:p w14:paraId="406A7C8D" w14:textId="77777777" w:rsidR="005C734A" w:rsidRPr="00B8153D" w:rsidRDefault="005C734A" w:rsidP="000E4BC8">
            <w:pPr>
              <w:widowControl w:val="0"/>
              <w:numPr>
                <w:ilvl w:val="2"/>
                <w:numId w:val="21"/>
              </w:numPr>
              <w:tabs>
                <w:tab w:val="left" w:pos="634"/>
                <w:tab w:val="left" w:pos="1201"/>
              </w:tabs>
              <w:autoSpaceDE w:val="0"/>
              <w:autoSpaceDN w:val="0"/>
              <w:spacing w:before="2" w:after="0" w:line="252" w:lineRule="exact"/>
              <w:ind w:left="634" w:firstLine="0"/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</w:pPr>
            <w:r w:rsidRPr="00B8153D"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  <w:t>whose directors are all registered pharmacists,</w:t>
            </w:r>
            <w:r w:rsidRPr="00B8153D">
              <w:rPr>
                <w:rFonts w:asciiTheme="minorHAnsi" w:eastAsia="Arial" w:hAnsiTheme="minorHAnsi" w:cstheme="minorHAnsi"/>
                <w:spacing w:val="-8"/>
                <w:sz w:val="24"/>
                <w:szCs w:val="24"/>
                <w:lang w:bidi="en-AU"/>
              </w:rPr>
              <w:t xml:space="preserve"> </w:t>
            </w:r>
            <w:r w:rsidRPr="00B8153D"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  <w:t>and</w:t>
            </w:r>
          </w:p>
          <w:p w14:paraId="1638EB8E" w14:textId="77777777" w:rsidR="00EA2F7B" w:rsidRPr="00B8153D" w:rsidRDefault="005C734A" w:rsidP="000E4BC8">
            <w:pPr>
              <w:pStyle w:val="ListParagraph"/>
              <w:numPr>
                <w:ilvl w:val="2"/>
                <w:numId w:val="21"/>
              </w:numPr>
              <w:tabs>
                <w:tab w:val="left" w:pos="634"/>
              </w:tabs>
              <w:spacing w:before="0"/>
              <w:ind w:left="1201" w:right="3" w:hanging="567"/>
              <w:rPr>
                <w:rFonts w:asciiTheme="minorHAnsi" w:hAnsiTheme="minorHAnsi" w:cs="Arial"/>
                <w:sz w:val="24"/>
                <w:szCs w:val="24"/>
              </w:rPr>
            </w:pPr>
            <w:r w:rsidRPr="00B8153D">
              <w:rPr>
                <w:rFonts w:asciiTheme="minorHAnsi" w:eastAsia="Arial" w:hAnsiTheme="minorHAnsi" w:cstheme="minorHAnsi"/>
                <w:sz w:val="24"/>
                <w:szCs w:val="24"/>
                <w:lang w:bidi="en-AU"/>
              </w:rPr>
              <w:t>in which all shares and beneficial and legal interest in those shares are held by registered pharmacists</w:t>
            </w:r>
          </w:p>
          <w:p w14:paraId="582A5683" w14:textId="6C91AA27" w:rsidR="00AB3B15" w:rsidRDefault="00BE163B" w:rsidP="00EB2805">
            <w:pPr>
              <w:pStyle w:val="BodyText"/>
              <w:ind w:right="2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 p</w:t>
            </w:r>
            <w:r w:rsidR="00AB3B15">
              <w:rPr>
                <w:rFonts w:asciiTheme="minorHAnsi" w:hAnsiTheme="minorHAnsi" w:cstheme="minorHAnsi"/>
                <w:sz w:val="24"/>
                <w:szCs w:val="24"/>
              </w:rPr>
              <w:t xml:space="preserve">harmacy entities formed after 23 February </w:t>
            </w:r>
            <w:proofErr w:type="gramStart"/>
            <w:r w:rsidR="00AB3B15">
              <w:rPr>
                <w:rFonts w:asciiTheme="minorHAnsi" w:hAnsiTheme="minorHAnsi" w:cstheme="minorHAnsi"/>
                <w:sz w:val="24"/>
                <w:szCs w:val="24"/>
              </w:rPr>
              <w:t>2005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B2B24">
              <w:rPr>
                <w:rFonts w:asciiTheme="minorHAnsi" w:hAnsiTheme="minorHAnsi" w:cstheme="minorHAnsi"/>
                <w:b/>
                <w:sz w:val="24"/>
                <w:szCs w:val="24"/>
              </w:rPr>
              <w:t>all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pharmacists must maintain general registration</w:t>
            </w:r>
            <w:r w:rsidR="00532EAA">
              <w:rPr>
                <w:rFonts w:asciiTheme="minorHAnsi" w:hAnsiTheme="minorHAnsi" w:cstheme="minorHAnsi"/>
                <w:sz w:val="24"/>
                <w:szCs w:val="24"/>
              </w:rPr>
              <w:t xml:space="preserve"> as a pharmacist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 accordance with Health Practitioner </w:t>
            </w:r>
            <w:r w:rsidR="00A7740E">
              <w:rPr>
                <w:rFonts w:asciiTheme="minorHAnsi" w:hAnsiTheme="minorHAnsi" w:cstheme="minorHAnsi"/>
                <w:sz w:val="24"/>
                <w:szCs w:val="24"/>
              </w:rPr>
              <w:t xml:space="preserve">Regulation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National Law. Failure to do so </w:t>
            </w:r>
            <w:r w:rsidR="00532EAA">
              <w:rPr>
                <w:rFonts w:asciiTheme="minorHAnsi" w:hAnsiTheme="minorHAnsi" w:cstheme="minorHAnsi"/>
                <w:sz w:val="24"/>
                <w:szCs w:val="24"/>
              </w:rPr>
              <w:t>can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result in </w:t>
            </w:r>
            <w:r w:rsidR="00532EAA">
              <w:rPr>
                <w:rFonts w:asciiTheme="minorHAnsi" w:hAnsiTheme="minorHAnsi" w:cstheme="minorHAnsi"/>
                <w:sz w:val="24"/>
                <w:szCs w:val="24"/>
              </w:rPr>
              <w:t xml:space="preserve">the practitioner </w:t>
            </w:r>
            <w:proofErr w:type="gramStart"/>
            <w:r w:rsidR="00532EAA">
              <w:rPr>
                <w:rFonts w:asciiTheme="minorHAnsi" w:hAnsiTheme="minorHAnsi" w:cstheme="minorHAnsi"/>
                <w:sz w:val="24"/>
                <w:szCs w:val="24"/>
              </w:rPr>
              <w:t>being forced</w:t>
            </w:r>
            <w:proofErr w:type="gramEnd"/>
            <w:r w:rsidR="00532EAA">
              <w:rPr>
                <w:rFonts w:asciiTheme="minorHAnsi" w:hAnsiTheme="minorHAnsi" w:cstheme="minorHAnsi"/>
                <w:sz w:val="24"/>
                <w:szCs w:val="24"/>
              </w:rPr>
              <w:t xml:space="preserve"> to sell their portion of the pharmacy.</w:t>
            </w:r>
            <w:r w:rsidR="00344312">
              <w:rPr>
                <w:rFonts w:asciiTheme="minorHAnsi" w:hAnsiTheme="minorHAnsi" w:cstheme="minorHAnsi"/>
                <w:sz w:val="24"/>
                <w:szCs w:val="24"/>
              </w:rPr>
              <w:t xml:space="preserve"> The following registration status is considered by the </w:t>
            </w:r>
            <w:r w:rsidR="00B73A70">
              <w:rPr>
                <w:rFonts w:asciiTheme="minorHAnsi" w:hAnsiTheme="minorHAnsi" w:cstheme="minorHAnsi"/>
                <w:sz w:val="24"/>
                <w:szCs w:val="24"/>
              </w:rPr>
              <w:t xml:space="preserve">Pharmacy Premises </w:t>
            </w:r>
            <w:r w:rsidR="00344312">
              <w:rPr>
                <w:rFonts w:asciiTheme="minorHAnsi" w:hAnsiTheme="minorHAnsi" w:cstheme="minorHAnsi"/>
                <w:sz w:val="24"/>
                <w:szCs w:val="24"/>
              </w:rPr>
              <w:t>Committee to not be registered as a pharmacist:</w:t>
            </w:r>
          </w:p>
          <w:p w14:paraId="4C629EAA" w14:textId="2D35ADBC" w:rsidR="00344312" w:rsidRDefault="00344312" w:rsidP="005B2B24">
            <w:pPr>
              <w:pStyle w:val="BodyText"/>
              <w:numPr>
                <w:ilvl w:val="0"/>
                <w:numId w:val="24"/>
              </w:numPr>
              <w:ind w:right="207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Non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practising.</w:t>
            </w:r>
          </w:p>
          <w:p w14:paraId="5760B4C4" w14:textId="5CF258F0" w:rsidR="00344312" w:rsidRDefault="00344312" w:rsidP="005B2B24">
            <w:pPr>
              <w:pStyle w:val="BodyText"/>
              <w:numPr>
                <w:ilvl w:val="0"/>
                <w:numId w:val="24"/>
              </w:numPr>
              <w:ind w:right="2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Prohibited.</w:t>
            </w:r>
          </w:p>
          <w:p w14:paraId="77C17985" w14:textId="48C1E109" w:rsidR="00344312" w:rsidRDefault="00344312" w:rsidP="005B2B24">
            <w:pPr>
              <w:pStyle w:val="BodyText"/>
              <w:numPr>
                <w:ilvl w:val="0"/>
                <w:numId w:val="24"/>
              </w:numPr>
              <w:ind w:right="2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Cancelled.</w:t>
            </w:r>
          </w:p>
          <w:p w14:paraId="0193FD53" w14:textId="3B87CC9E" w:rsidR="00344312" w:rsidRDefault="00344312" w:rsidP="005B2B24">
            <w:pPr>
              <w:pStyle w:val="BodyText"/>
              <w:numPr>
                <w:ilvl w:val="0"/>
                <w:numId w:val="24"/>
              </w:numPr>
              <w:ind w:right="2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Suspended.</w:t>
            </w:r>
          </w:p>
          <w:p w14:paraId="55D60864" w14:textId="77777777" w:rsidR="00532EAA" w:rsidRPr="005B2B24" w:rsidRDefault="00532EAA" w:rsidP="00EB2805">
            <w:pPr>
              <w:pStyle w:val="BodyText"/>
              <w:ind w:right="207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3BE611D" w14:textId="1E418AB3" w:rsidR="00F02AE5" w:rsidRDefault="00F02AE5" w:rsidP="00EB2805">
            <w:pPr>
              <w:pStyle w:val="BodyText"/>
              <w:ind w:right="207"/>
              <w:rPr>
                <w:rFonts w:asciiTheme="minorHAnsi" w:hAnsiTheme="minorHAnsi" w:cstheme="minorHAnsi"/>
                <w:sz w:val="24"/>
                <w:szCs w:val="24"/>
              </w:rPr>
            </w:pPr>
            <w:r w:rsidRPr="00B8153D">
              <w:rPr>
                <w:rFonts w:asciiTheme="minorHAnsi" w:hAnsiTheme="minorHAnsi" w:cstheme="minorHAnsi"/>
                <w:sz w:val="24"/>
                <w:szCs w:val="24"/>
              </w:rPr>
              <w:t xml:space="preserve">As a guide, the Pharmacy </w:t>
            </w:r>
            <w:r w:rsidR="00882911">
              <w:rPr>
                <w:rFonts w:asciiTheme="minorHAnsi" w:hAnsiTheme="minorHAnsi" w:cstheme="minorHAnsi"/>
                <w:sz w:val="24"/>
                <w:szCs w:val="24"/>
              </w:rPr>
              <w:t xml:space="preserve">Premises </w:t>
            </w:r>
            <w:r w:rsidRPr="00B8153D">
              <w:rPr>
                <w:rFonts w:asciiTheme="minorHAnsi" w:hAnsiTheme="minorHAnsi" w:cstheme="minorHAnsi"/>
                <w:sz w:val="24"/>
                <w:szCs w:val="24"/>
              </w:rPr>
              <w:t>Committee will itself only consider fixed trusts or unit trusts in which all trustees and beneficiaries are registered pharmacists</w:t>
            </w:r>
            <w:r w:rsidR="0088291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82911" w:rsidRPr="00B8153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8153D">
              <w:rPr>
                <w:rFonts w:asciiTheme="minorHAnsi" w:hAnsiTheme="minorHAnsi" w:cstheme="minorHAnsi"/>
                <w:sz w:val="24"/>
                <w:szCs w:val="24"/>
              </w:rPr>
              <w:t xml:space="preserve">If a corporate trustee or beneficiary is involved, all directors and shareholders of the trustee or beneficiary are registered pharmacists and the beneficial and legal interests of all beneficiaries interests </w:t>
            </w:r>
            <w:proofErr w:type="gramStart"/>
            <w:r w:rsidRPr="00B8153D">
              <w:rPr>
                <w:rFonts w:asciiTheme="minorHAnsi" w:hAnsiTheme="minorHAnsi" w:cstheme="minorHAnsi"/>
                <w:sz w:val="24"/>
                <w:szCs w:val="24"/>
              </w:rPr>
              <w:t>are held</w:t>
            </w:r>
            <w:proofErr w:type="gramEnd"/>
            <w:r w:rsidRPr="00B8153D">
              <w:rPr>
                <w:rFonts w:asciiTheme="minorHAnsi" w:hAnsiTheme="minorHAnsi" w:cstheme="minorHAnsi"/>
                <w:sz w:val="24"/>
                <w:szCs w:val="24"/>
              </w:rPr>
              <w:t xml:space="preserve"> by registered pharmacists. If another form of trust is </w:t>
            </w:r>
            <w:proofErr w:type="gramStart"/>
            <w:r w:rsidRPr="00B8153D">
              <w:rPr>
                <w:rFonts w:asciiTheme="minorHAnsi" w:hAnsiTheme="minorHAnsi" w:cstheme="minorHAnsi"/>
                <w:sz w:val="24"/>
                <w:szCs w:val="24"/>
              </w:rPr>
              <w:t>proposed</w:t>
            </w:r>
            <w:proofErr w:type="gramEnd"/>
            <w:r w:rsidRPr="00B8153D">
              <w:rPr>
                <w:rFonts w:asciiTheme="minorHAnsi" w:hAnsiTheme="minorHAnsi" w:cstheme="minorHAnsi"/>
                <w:sz w:val="24"/>
                <w:szCs w:val="24"/>
              </w:rPr>
              <w:t xml:space="preserve"> it would have to be considered by legally qualified advisors and the </w:t>
            </w:r>
            <w:r w:rsidRPr="00B8153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cost would be borne by the applicant. The Pharmacy </w:t>
            </w:r>
            <w:r w:rsidR="00B73A70">
              <w:rPr>
                <w:rFonts w:asciiTheme="minorHAnsi" w:hAnsiTheme="minorHAnsi" w:cstheme="minorHAnsi"/>
                <w:sz w:val="24"/>
                <w:szCs w:val="24"/>
              </w:rPr>
              <w:t xml:space="preserve">Premises </w:t>
            </w:r>
            <w:r w:rsidRPr="00B8153D">
              <w:rPr>
                <w:rFonts w:asciiTheme="minorHAnsi" w:hAnsiTheme="minorHAnsi" w:cstheme="minorHAnsi"/>
                <w:sz w:val="24"/>
                <w:szCs w:val="24"/>
              </w:rPr>
              <w:t>Committee could not give any assurances as to the time such an application would take to be determined.</w:t>
            </w:r>
            <w:r w:rsidR="00557B2E">
              <w:rPr>
                <w:rFonts w:asciiTheme="minorHAnsi" w:hAnsiTheme="minorHAnsi" w:cstheme="minorHAnsi"/>
                <w:sz w:val="24"/>
                <w:szCs w:val="24"/>
              </w:rPr>
              <w:t xml:space="preserve"> Further information </w:t>
            </w:r>
            <w:proofErr w:type="gramStart"/>
            <w:r w:rsidR="00557B2E">
              <w:rPr>
                <w:rFonts w:asciiTheme="minorHAnsi" w:hAnsiTheme="minorHAnsi" w:cstheme="minorHAnsi"/>
                <w:sz w:val="24"/>
                <w:szCs w:val="24"/>
              </w:rPr>
              <w:t>can be sought</w:t>
            </w:r>
            <w:proofErr w:type="gramEnd"/>
            <w:r w:rsidR="00557B2E">
              <w:rPr>
                <w:rFonts w:asciiTheme="minorHAnsi" w:hAnsiTheme="minorHAnsi" w:cstheme="minorHAnsi"/>
                <w:sz w:val="24"/>
                <w:szCs w:val="24"/>
              </w:rPr>
              <w:t xml:space="preserve"> from PG1 Pharmacy Premises Committee Guidance on Trusts.</w:t>
            </w:r>
          </w:p>
          <w:p w14:paraId="0BD862C9" w14:textId="146BB9AA" w:rsidR="0096155D" w:rsidRPr="0096155D" w:rsidRDefault="0096155D" w:rsidP="00EB2805">
            <w:pPr>
              <w:pStyle w:val="BodyText"/>
              <w:ind w:right="207"/>
              <w:rPr>
                <w:rFonts w:asciiTheme="minorHAnsi" w:hAnsiTheme="minorHAnsi"/>
                <w:sz w:val="12"/>
                <w:szCs w:val="12"/>
              </w:rPr>
            </w:pPr>
          </w:p>
        </w:tc>
      </w:tr>
    </w:tbl>
    <w:p w14:paraId="02077F92" w14:textId="77777777" w:rsidR="005038E1" w:rsidRPr="00EB2805" w:rsidRDefault="005038E1" w:rsidP="00EB2805">
      <w:pPr>
        <w:spacing w:before="0" w:after="0"/>
        <w:ind w:right="3"/>
        <w:rPr>
          <w:rFonts w:cs="Arial"/>
          <w:sz w:val="12"/>
          <w:szCs w:val="12"/>
        </w:rPr>
      </w:pPr>
    </w:p>
    <w:tbl>
      <w:tblPr>
        <w:tblStyle w:val="TableGrid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1E2EAA" w:rsidRPr="00CB1E33" w14:paraId="777F74F5" w14:textId="77777777" w:rsidTr="005B2B24">
        <w:trPr>
          <w:trHeight w:val="365"/>
        </w:trPr>
        <w:tc>
          <w:tcPr>
            <w:tcW w:w="10490" w:type="dxa"/>
          </w:tcPr>
          <w:p w14:paraId="74B5A4C8" w14:textId="77777777" w:rsidR="001E2EAA" w:rsidRPr="0081379E" w:rsidRDefault="005369E3" w:rsidP="00EB2805">
            <w:pPr>
              <w:spacing w:before="0" w:after="0"/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81379E">
              <w:rPr>
                <w:rFonts w:asciiTheme="minorHAnsi" w:hAnsiTheme="minorHAnsi" w:cs="Arial"/>
                <w:b/>
                <w:sz w:val="28"/>
                <w:szCs w:val="28"/>
              </w:rPr>
              <w:t>PHARMACY SERVICE</w:t>
            </w:r>
          </w:p>
        </w:tc>
      </w:tr>
      <w:tr w:rsidR="001E2EAA" w:rsidRPr="00CB1E33" w14:paraId="77136543" w14:textId="77777777" w:rsidTr="005B2B24">
        <w:trPr>
          <w:trHeight w:val="365"/>
        </w:trPr>
        <w:tc>
          <w:tcPr>
            <w:tcW w:w="10490" w:type="dxa"/>
          </w:tcPr>
          <w:p w14:paraId="6FB6C5ED" w14:textId="77777777" w:rsidR="001E2EAA" w:rsidRPr="00CB1E33" w:rsidRDefault="00E60CCA" w:rsidP="00EB2805">
            <w:pPr>
              <w:pStyle w:val="ListParagraph"/>
              <w:spacing w:before="0" w:after="0"/>
              <w:ind w:left="0" w:right="3"/>
              <w:rPr>
                <w:rFonts w:asciiTheme="minorHAnsi" w:hAnsiTheme="minorHAnsi" w:cs="Arial"/>
                <w:sz w:val="24"/>
                <w:szCs w:val="24"/>
              </w:rPr>
            </w:pPr>
            <w:r w:rsidRPr="00CB1E33">
              <w:rPr>
                <w:rFonts w:asciiTheme="minorHAnsi" w:hAnsiTheme="minorHAnsi" w:cs="Arial"/>
                <w:sz w:val="24"/>
                <w:szCs w:val="24"/>
              </w:rPr>
              <w:t xml:space="preserve">Pursuant to the </w:t>
            </w:r>
            <w:r w:rsidRPr="0090753C">
              <w:rPr>
                <w:rFonts w:asciiTheme="minorHAnsi" w:hAnsiTheme="minorHAnsi" w:cs="Arial"/>
                <w:i/>
                <w:sz w:val="24"/>
                <w:szCs w:val="24"/>
              </w:rPr>
              <w:t>HPA</w:t>
            </w:r>
            <w:r w:rsidR="00BA3462">
              <w:rPr>
                <w:rFonts w:asciiTheme="minorHAnsi" w:hAnsiTheme="minorHAnsi" w:cs="Arial"/>
                <w:sz w:val="24"/>
                <w:szCs w:val="24"/>
              </w:rPr>
              <w:t xml:space="preserve"> an authorised pharmacy service provider means an organisation that operates:</w:t>
            </w:r>
          </w:p>
          <w:p w14:paraId="51D3F6BA" w14:textId="77777777" w:rsidR="00E60CCA" w:rsidRPr="00CB1E33" w:rsidRDefault="00E60CCA" w:rsidP="00EB2805">
            <w:pPr>
              <w:pStyle w:val="ListParagraph"/>
              <w:numPr>
                <w:ilvl w:val="0"/>
                <w:numId w:val="13"/>
              </w:numPr>
              <w:spacing w:before="0" w:after="0"/>
              <w:ind w:left="0" w:right="3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CB1E33">
              <w:rPr>
                <w:rFonts w:asciiTheme="minorHAnsi" w:hAnsiTheme="minorHAnsi" w:cs="Arial"/>
                <w:sz w:val="24"/>
                <w:szCs w:val="24"/>
              </w:rPr>
              <w:t>an Aboriginal health service</w:t>
            </w:r>
            <w:r w:rsidR="00E93A8C"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14:paraId="6303EC27" w14:textId="6AA040BA" w:rsidR="00EB2805" w:rsidRPr="00EB2805" w:rsidRDefault="00E60CCA" w:rsidP="001E5DF9">
            <w:pPr>
              <w:pStyle w:val="ListParagraph"/>
              <w:numPr>
                <w:ilvl w:val="0"/>
                <w:numId w:val="13"/>
              </w:numPr>
              <w:spacing w:before="0" w:after="0"/>
              <w:ind w:left="0" w:right="3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EB2805">
              <w:rPr>
                <w:rFonts w:asciiTheme="minorHAnsi" w:hAnsiTheme="minorHAnsi" w:cs="Arial"/>
                <w:sz w:val="24"/>
                <w:szCs w:val="24"/>
              </w:rPr>
              <w:t>a pharmacy service that is part of a public hospital;</w:t>
            </w:r>
            <w:r w:rsidR="00E93A8C" w:rsidRPr="00EB2805">
              <w:rPr>
                <w:rFonts w:asciiTheme="minorHAnsi" w:hAnsiTheme="minorHAnsi" w:cs="Arial"/>
                <w:sz w:val="24"/>
                <w:szCs w:val="24"/>
              </w:rPr>
              <w:t xml:space="preserve"> or</w:t>
            </w:r>
          </w:p>
          <w:p w14:paraId="3DF52FA8" w14:textId="77777777" w:rsidR="00BA3462" w:rsidRDefault="00E60CCA" w:rsidP="00EB2805">
            <w:pPr>
              <w:pStyle w:val="ListParagraph"/>
              <w:numPr>
                <w:ilvl w:val="0"/>
                <w:numId w:val="13"/>
              </w:numPr>
              <w:spacing w:before="0" w:after="0"/>
              <w:ind w:left="0" w:right="3" w:firstLine="0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CB1E33">
              <w:rPr>
                <w:rFonts w:asciiTheme="minorHAnsi" w:hAnsiTheme="minorHAnsi" w:cs="Arial"/>
                <w:sz w:val="24"/>
                <w:szCs w:val="24"/>
              </w:rPr>
              <w:t>a</w:t>
            </w:r>
            <w:proofErr w:type="gramEnd"/>
            <w:r w:rsidRPr="00CB1E33">
              <w:rPr>
                <w:rFonts w:asciiTheme="minorHAnsi" w:hAnsiTheme="minorHAnsi" w:cs="Arial"/>
                <w:sz w:val="24"/>
                <w:szCs w:val="24"/>
              </w:rPr>
              <w:t xml:space="preserve"> pharmacy that is part of a defence force facility.</w:t>
            </w:r>
          </w:p>
          <w:p w14:paraId="4E503BCF" w14:textId="78ADC897" w:rsidR="000B7884" w:rsidRPr="000B7884" w:rsidRDefault="000B7884" w:rsidP="000B7884">
            <w:pPr>
              <w:spacing w:before="0" w:after="0"/>
              <w:ind w:right="3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</w:tbl>
    <w:p w14:paraId="683AC359" w14:textId="77777777" w:rsidR="00882911" w:rsidRPr="005B2B24" w:rsidRDefault="00882911" w:rsidP="005B2B24">
      <w:pPr>
        <w:spacing w:before="0" w:after="0"/>
        <w:rPr>
          <w:sz w:val="12"/>
          <w:szCs w:val="12"/>
        </w:rPr>
      </w:pPr>
    </w:p>
    <w:tbl>
      <w:tblPr>
        <w:tblStyle w:val="TableGrid"/>
        <w:tblW w:w="10490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1E2EAA" w:rsidRPr="00CB1E33" w14:paraId="072CB0A8" w14:textId="77777777" w:rsidTr="005B2B24">
        <w:trPr>
          <w:trHeight w:val="365"/>
        </w:trPr>
        <w:tc>
          <w:tcPr>
            <w:tcW w:w="10490" w:type="dxa"/>
          </w:tcPr>
          <w:p w14:paraId="09546ED6" w14:textId="77777777" w:rsidR="001E2EAA" w:rsidRPr="0081379E" w:rsidRDefault="005369E3" w:rsidP="00682027">
            <w:pPr>
              <w:ind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81379E">
              <w:rPr>
                <w:rFonts w:asciiTheme="minorHAnsi" w:hAnsiTheme="minorHAnsi" w:cs="Arial"/>
                <w:b/>
                <w:sz w:val="28"/>
                <w:szCs w:val="28"/>
              </w:rPr>
              <w:t xml:space="preserve">NOTIFICATION </w:t>
            </w:r>
            <w:r w:rsidR="00682027" w:rsidRPr="0081379E">
              <w:rPr>
                <w:rFonts w:asciiTheme="minorHAnsi" w:hAnsiTheme="minorHAnsi" w:cs="Arial"/>
                <w:b/>
                <w:sz w:val="28"/>
                <w:szCs w:val="28"/>
              </w:rPr>
              <w:t>TO</w:t>
            </w:r>
            <w:r w:rsidRPr="0081379E">
              <w:rPr>
                <w:rFonts w:asciiTheme="minorHAnsi" w:hAnsiTheme="minorHAnsi" w:cs="Arial"/>
                <w:b/>
                <w:sz w:val="28"/>
                <w:szCs w:val="28"/>
              </w:rPr>
              <w:t xml:space="preserve"> THE </w:t>
            </w:r>
            <w:r w:rsidR="00FA582C" w:rsidRPr="0081379E">
              <w:rPr>
                <w:rFonts w:asciiTheme="minorHAnsi" w:hAnsiTheme="minorHAnsi" w:cs="Arial"/>
                <w:b/>
                <w:sz w:val="28"/>
                <w:szCs w:val="28"/>
              </w:rPr>
              <w:t xml:space="preserve">PHARMACY PREMISES </w:t>
            </w:r>
            <w:r w:rsidRPr="0081379E">
              <w:rPr>
                <w:rFonts w:asciiTheme="minorHAnsi" w:hAnsiTheme="minorHAnsi" w:cs="Arial"/>
                <w:b/>
                <w:sz w:val="28"/>
                <w:szCs w:val="28"/>
              </w:rPr>
              <w:t>COMMITTEE</w:t>
            </w:r>
          </w:p>
        </w:tc>
      </w:tr>
      <w:tr w:rsidR="001E2EAA" w:rsidRPr="00CB1E33" w14:paraId="082B9143" w14:textId="77777777" w:rsidTr="005B2B24">
        <w:trPr>
          <w:trHeight w:val="365"/>
        </w:trPr>
        <w:tc>
          <w:tcPr>
            <w:tcW w:w="10490" w:type="dxa"/>
          </w:tcPr>
          <w:p w14:paraId="5881D740" w14:textId="416C5010" w:rsidR="001E2EAA" w:rsidRPr="0001194C" w:rsidRDefault="00E60CCA" w:rsidP="0001194C">
            <w:pPr>
              <w:pStyle w:val="ListParagraph"/>
              <w:numPr>
                <w:ilvl w:val="0"/>
                <w:numId w:val="22"/>
              </w:numPr>
              <w:spacing w:before="0" w:after="0"/>
              <w:ind w:right="3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1194C">
              <w:rPr>
                <w:rFonts w:asciiTheme="minorHAnsi" w:hAnsiTheme="minorHAnsi" w:cs="Arial"/>
                <w:b/>
                <w:sz w:val="24"/>
                <w:szCs w:val="24"/>
              </w:rPr>
              <w:t>Detail of Owner</w:t>
            </w:r>
            <w:r w:rsidR="00FA582C" w:rsidRPr="0001194C">
              <w:rPr>
                <w:rFonts w:asciiTheme="minorHAnsi" w:hAnsiTheme="minorHAnsi" w:cs="Arial"/>
                <w:b/>
                <w:sz w:val="24"/>
                <w:szCs w:val="24"/>
              </w:rPr>
              <w:t>(s) for Pharmacy Businesses</w:t>
            </w:r>
          </w:p>
        </w:tc>
      </w:tr>
      <w:tr w:rsidR="00E60CCA" w:rsidRPr="00CB1E33" w14:paraId="17961064" w14:textId="77777777" w:rsidTr="005B2B24">
        <w:trPr>
          <w:trHeight w:val="365"/>
        </w:trPr>
        <w:tc>
          <w:tcPr>
            <w:tcW w:w="10490" w:type="dxa"/>
          </w:tcPr>
          <w:p w14:paraId="15B6366E" w14:textId="3DBEA51C" w:rsidR="003C22B5" w:rsidRPr="00526D80" w:rsidRDefault="00645019" w:rsidP="003C22B5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A </w:t>
            </w:r>
            <w:proofErr w:type="gramStart"/>
            <w:r w:rsidRPr="00526D80"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="00A573B7" w:rsidRPr="00526D80">
              <w:rPr>
                <w:rFonts w:asciiTheme="minorHAnsi" w:hAnsiTheme="minorHAnsi" w:cs="Arial"/>
                <w:sz w:val="24"/>
                <w:szCs w:val="24"/>
              </w:rPr>
              <w:t>erson</w:t>
            </w:r>
            <w:proofErr w:type="gramEnd"/>
            <w:r w:rsidR="00222583" w:rsidRPr="00526D80">
              <w:rPr>
                <w:rFonts w:asciiTheme="minorHAnsi" w:hAnsiTheme="minorHAnsi" w:cs="Arial"/>
                <w:sz w:val="24"/>
                <w:szCs w:val="24"/>
              </w:rPr>
              <w:t xml:space="preserve"> who </w:t>
            </w:r>
            <w:r w:rsidR="00526D80" w:rsidRPr="00394087">
              <w:rPr>
                <w:rFonts w:asciiTheme="minorHAnsi" w:hAnsiTheme="minorHAnsi" w:cs="Arial"/>
                <w:sz w:val="24"/>
                <w:szCs w:val="24"/>
              </w:rPr>
              <w:t>commences</w:t>
            </w:r>
            <w:r w:rsidR="00222583" w:rsidRPr="00394087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="00222583" w:rsidRPr="00526D80">
              <w:rPr>
                <w:rFonts w:asciiTheme="minorHAnsi" w:hAnsiTheme="minorHAnsi" w:cs="Arial"/>
                <w:sz w:val="24"/>
                <w:szCs w:val="24"/>
              </w:rPr>
              <w:t xml:space="preserve"> acquires,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82114A" w:rsidRPr="00526D80">
              <w:rPr>
                <w:rFonts w:asciiTheme="minorHAnsi" w:hAnsiTheme="minorHAnsi" w:cs="Arial"/>
                <w:sz w:val="24"/>
                <w:szCs w:val="24"/>
              </w:rPr>
              <w:t>or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changes an ownership interest in a pharmacy </w:t>
            </w:r>
            <w:r w:rsidR="0082114A" w:rsidRPr="00526D80">
              <w:rPr>
                <w:rFonts w:asciiTheme="minorHAnsi" w:hAnsiTheme="minorHAnsi" w:cs="Arial"/>
                <w:sz w:val="24"/>
                <w:szCs w:val="24"/>
              </w:rPr>
              <w:t xml:space="preserve">business 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or pharmacy </w:t>
            </w:r>
            <w:r w:rsidR="0082114A" w:rsidRPr="00526D80">
              <w:rPr>
                <w:rFonts w:asciiTheme="minorHAnsi" w:hAnsiTheme="minorHAnsi" w:cs="Arial"/>
                <w:sz w:val="24"/>
                <w:szCs w:val="24"/>
              </w:rPr>
              <w:t xml:space="preserve">service </w:t>
            </w:r>
            <w:r w:rsidR="003D5EBE" w:rsidRPr="00526D80">
              <w:rPr>
                <w:rFonts w:asciiTheme="minorHAnsi" w:hAnsiTheme="minorHAnsi" w:cs="Arial"/>
                <w:sz w:val="24"/>
                <w:szCs w:val="24"/>
              </w:rPr>
              <w:t>must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advi</w:t>
            </w:r>
            <w:r w:rsidR="00CB1E33" w:rsidRPr="00526D80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e the </w:t>
            </w:r>
            <w:r w:rsidR="00FA582C" w:rsidRPr="00526D80">
              <w:rPr>
                <w:rFonts w:asciiTheme="minorHAnsi" w:hAnsiTheme="minorHAnsi" w:cs="Arial"/>
                <w:sz w:val="24"/>
                <w:szCs w:val="24"/>
              </w:rPr>
              <w:t xml:space="preserve">Pharmacy Premises 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>Committee</w:t>
            </w:r>
            <w:r w:rsidR="003D5EBE" w:rsidRPr="00526D80">
              <w:rPr>
                <w:rFonts w:asciiTheme="minorHAnsi" w:hAnsiTheme="minorHAnsi" w:cs="Arial"/>
                <w:sz w:val="24"/>
                <w:szCs w:val="24"/>
              </w:rPr>
              <w:t xml:space="preserve"> of that interest or of any change </w:t>
            </w:r>
            <w:r w:rsidR="00C15F4A" w:rsidRPr="00526D80">
              <w:rPr>
                <w:rFonts w:asciiTheme="minorHAnsi" w:hAnsiTheme="minorHAnsi" w:cs="Arial"/>
                <w:sz w:val="24"/>
                <w:szCs w:val="24"/>
              </w:rPr>
              <w:t xml:space="preserve">at least </w:t>
            </w:r>
            <w:r w:rsidR="003E3A49" w:rsidRPr="00526D80">
              <w:rPr>
                <w:rFonts w:asciiTheme="minorHAnsi" w:hAnsiTheme="minorHAnsi" w:cs="Arial"/>
                <w:sz w:val="24"/>
                <w:szCs w:val="24"/>
              </w:rPr>
              <w:t>28</w:t>
            </w:r>
            <w:r w:rsidR="003D5EBE" w:rsidRPr="00526D80">
              <w:rPr>
                <w:rFonts w:asciiTheme="minorHAnsi" w:hAnsiTheme="minorHAnsi" w:cs="Arial"/>
                <w:sz w:val="24"/>
                <w:szCs w:val="24"/>
              </w:rPr>
              <w:t xml:space="preserve"> days</w:t>
            </w:r>
            <w:r w:rsidR="003E3A49" w:rsidRPr="00526D80">
              <w:rPr>
                <w:rFonts w:asciiTheme="minorHAnsi" w:hAnsiTheme="minorHAnsi" w:cs="Arial"/>
                <w:sz w:val="24"/>
                <w:szCs w:val="24"/>
              </w:rPr>
              <w:t xml:space="preserve"> prior</w:t>
            </w:r>
            <w:r w:rsidR="003C22B5">
              <w:rPr>
                <w:rFonts w:asciiTheme="minorHAnsi" w:hAnsiTheme="minorHAnsi" w:cs="Arial"/>
                <w:sz w:val="24"/>
                <w:szCs w:val="24"/>
              </w:rPr>
              <w:t xml:space="preserve"> to the proposed change</w:t>
            </w:r>
            <w:r w:rsidR="003D5EBE" w:rsidRPr="00526D80">
              <w:rPr>
                <w:rFonts w:asciiTheme="minorHAnsi" w:hAnsiTheme="minorHAnsi" w:cs="Arial"/>
                <w:sz w:val="24"/>
                <w:szCs w:val="24"/>
              </w:rPr>
              <w:t xml:space="preserve">.  The advice </w:t>
            </w:r>
            <w:proofErr w:type="gramStart"/>
            <w:r w:rsidR="00222583" w:rsidRPr="00526D80">
              <w:rPr>
                <w:rFonts w:asciiTheme="minorHAnsi" w:hAnsiTheme="minorHAnsi" w:cs="Arial"/>
                <w:sz w:val="24"/>
                <w:szCs w:val="24"/>
              </w:rPr>
              <w:t>must be provided</w:t>
            </w:r>
            <w:proofErr w:type="gramEnd"/>
            <w:r w:rsidR="00222583" w:rsidRPr="00526D80">
              <w:rPr>
                <w:rFonts w:asciiTheme="minorHAnsi" w:hAnsiTheme="minorHAnsi" w:cs="Arial"/>
                <w:sz w:val="24"/>
                <w:szCs w:val="24"/>
              </w:rPr>
              <w:t xml:space="preserve"> using the </w:t>
            </w:r>
            <w:r w:rsidR="00453454" w:rsidRPr="00526D80">
              <w:rPr>
                <w:rFonts w:asciiTheme="minorHAnsi" w:hAnsiTheme="minorHAnsi" w:cs="Arial"/>
                <w:b/>
                <w:i/>
                <w:sz w:val="24"/>
                <w:szCs w:val="24"/>
              </w:rPr>
              <w:t>Change of Ownership Form</w:t>
            </w:r>
            <w:r w:rsidR="003C22B5">
              <w:rPr>
                <w:rFonts w:asciiTheme="minorHAnsi" w:hAnsiTheme="minorHAnsi" w:cs="Arial"/>
                <w:sz w:val="24"/>
                <w:szCs w:val="24"/>
              </w:rPr>
              <w:t xml:space="preserve"> including a </w:t>
            </w:r>
            <w:r w:rsidR="003C22B5" w:rsidRPr="00526D80">
              <w:rPr>
                <w:rFonts w:asciiTheme="minorHAnsi" w:hAnsiTheme="minorHAnsi" w:cs="Arial"/>
                <w:sz w:val="24"/>
                <w:szCs w:val="24"/>
              </w:rPr>
              <w:t>declar</w:t>
            </w:r>
            <w:r w:rsidR="003C22B5">
              <w:rPr>
                <w:rFonts w:asciiTheme="minorHAnsi" w:hAnsiTheme="minorHAnsi" w:cs="Arial"/>
                <w:sz w:val="24"/>
                <w:szCs w:val="24"/>
              </w:rPr>
              <w:t>ation</w:t>
            </w:r>
            <w:r w:rsidR="003C22B5" w:rsidRPr="00526D80">
              <w:rPr>
                <w:rFonts w:asciiTheme="minorHAnsi" w:hAnsiTheme="minorHAnsi" w:cs="Arial"/>
                <w:sz w:val="24"/>
                <w:szCs w:val="24"/>
              </w:rPr>
              <w:t xml:space="preserve"> that the premises meet the minimum standards prescribed by the Pharmacy Premises Committee.  </w:t>
            </w:r>
          </w:p>
          <w:p w14:paraId="0A70771B" w14:textId="4239A036" w:rsidR="003D5EBE" w:rsidRPr="00FD6C49" w:rsidRDefault="003D5EBE" w:rsidP="00FD6C49">
            <w:pPr>
              <w:spacing w:before="0" w:after="0"/>
              <w:ind w:right="3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FA582C" w:rsidRPr="00CB1E33" w14:paraId="50F8FAEF" w14:textId="77777777" w:rsidTr="005B2B24">
        <w:trPr>
          <w:trHeight w:val="365"/>
        </w:trPr>
        <w:tc>
          <w:tcPr>
            <w:tcW w:w="10490" w:type="dxa"/>
          </w:tcPr>
          <w:p w14:paraId="72FF8E0A" w14:textId="03B66D0C" w:rsidR="00FA582C" w:rsidRPr="0001194C" w:rsidRDefault="00FA582C" w:rsidP="0001194C">
            <w:pPr>
              <w:pStyle w:val="ListParagraph"/>
              <w:numPr>
                <w:ilvl w:val="0"/>
                <w:numId w:val="22"/>
              </w:numPr>
              <w:spacing w:before="0" w:after="0"/>
              <w:ind w:right="3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1194C">
              <w:rPr>
                <w:rFonts w:asciiTheme="minorHAnsi" w:hAnsiTheme="minorHAnsi" w:cs="Arial"/>
                <w:b/>
                <w:sz w:val="24"/>
                <w:szCs w:val="24"/>
              </w:rPr>
              <w:t xml:space="preserve">Details </w:t>
            </w:r>
            <w:r w:rsidR="005E3798" w:rsidRPr="0001194C">
              <w:rPr>
                <w:rFonts w:asciiTheme="minorHAnsi" w:hAnsiTheme="minorHAnsi" w:cs="Arial"/>
                <w:b/>
                <w:sz w:val="24"/>
                <w:szCs w:val="24"/>
              </w:rPr>
              <w:t xml:space="preserve">of </w:t>
            </w:r>
            <w:r w:rsidRPr="0001194C">
              <w:rPr>
                <w:rFonts w:asciiTheme="minorHAnsi" w:hAnsiTheme="minorHAnsi" w:cs="Arial"/>
                <w:b/>
                <w:sz w:val="24"/>
                <w:szCs w:val="24"/>
              </w:rPr>
              <w:t>an Aboriginal Health Service</w:t>
            </w:r>
            <w:r w:rsidR="005E3798" w:rsidRPr="0001194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FA582C" w:rsidRPr="00CB1E33" w14:paraId="6B776022" w14:textId="77777777" w:rsidTr="005B2B24">
        <w:trPr>
          <w:trHeight w:val="365"/>
        </w:trPr>
        <w:tc>
          <w:tcPr>
            <w:tcW w:w="10490" w:type="dxa"/>
          </w:tcPr>
          <w:p w14:paraId="7ABF92D7" w14:textId="4B650655" w:rsidR="00453454" w:rsidRPr="00526D80" w:rsidRDefault="00FA582C" w:rsidP="007D41AB">
            <w:p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526D80">
              <w:rPr>
                <w:rFonts w:asciiTheme="minorHAnsi" w:hAnsiTheme="minorHAnsi" w:cs="Arial"/>
                <w:sz w:val="24"/>
                <w:szCs w:val="24"/>
              </w:rPr>
              <w:t>A</w:t>
            </w:r>
            <w:r w:rsidR="005E3798" w:rsidRPr="00526D80">
              <w:rPr>
                <w:rFonts w:asciiTheme="minorHAnsi" w:hAnsiTheme="minorHAnsi" w:cs="Arial"/>
                <w:sz w:val="24"/>
                <w:szCs w:val="24"/>
              </w:rPr>
              <w:t>n Aboriginal Health Service</w:t>
            </w:r>
            <w:r w:rsidR="001023DC" w:rsidRPr="00526D80">
              <w:rPr>
                <w:rFonts w:asciiTheme="minorHAnsi" w:hAnsiTheme="minorHAnsi" w:cs="Arial"/>
                <w:sz w:val="24"/>
                <w:szCs w:val="24"/>
              </w:rPr>
              <w:t xml:space="preserve"> (</w:t>
            </w:r>
            <w:r w:rsidR="005E3798" w:rsidRPr="00526D80">
              <w:rPr>
                <w:rFonts w:asciiTheme="minorHAnsi" w:hAnsiTheme="minorHAnsi" w:cs="Arial"/>
                <w:sz w:val="24"/>
                <w:szCs w:val="24"/>
              </w:rPr>
              <w:t>granted an exemption</w:t>
            </w:r>
            <w:r w:rsidR="001023DC" w:rsidRPr="00526D80">
              <w:rPr>
                <w:rFonts w:asciiTheme="minorHAnsi" w:hAnsiTheme="minorHAnsi" w:cs="Arial"/>
                <w:sz w:val="24"/>
                <w:szCs w:val="24"/>
              </w:rPr>
              <w:t xml:space="preserve"> under the HPA</w:t>
            </w:r>
            <w:r w:rsidR="005E3798" w:rsidRPr="00526D80">
              <w:rPr>
                <w:rFonts w:asciiTheme="minorHAnsi" w:hAnsiTheme="minorHAnsi" w:cs="Arial"/>
                <w:sz w:val="24"/>
                <w:szCs w:val="24"/>
              </w:rPr>
              <w:t xml:space="preserve"> by the Minister) </w:t>
            </w:r>
            <w:r w:rsidR="003C22B5" w:rsidRPr="00526D80">
              <w:rPr>
                <w:rFonts w:asciiTheme="minorHAnsi" w:hAnsiTheme="minorHAnsi" w:cs="Arial"/>
                <w:sz w:val="24"/>
                <w:szCs w:val="24"/>
              </w:rPr>
              <w:t>wh</w:t>
            </w:r>
            <w:r w:rsidR="003C22B5">
              <w:rPr>
                <w:rFonts w:asciiTheme="minorHAnsi" w:hAnsiTheme="minorHAnsi" w:cs="Arial"/>
                <w:sz w:val="24"/>
                <w:szCs w:val="24"/>
              </w:rPr>
              <w:t>ich</w:t>
            </w:r>
            <w:r w:rsidR="003C22B5" w:rsidRPr="00526D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>acquires</w:t>
            </w:r>
            <w:r w:rsidR="001023DC" w:rsidRPr="00526D80">
              <w:rPr>
                <w:rFonts w:asciiTheme="minorHAnsi" w:hAnsiTheme="minorHAnsi" w:cs="Arial"/>
                <w:sz w:val="24"/>
                <w:szCs w:val="24"/>
              </w:rPr>
              <w:t xml:space="preserve"> or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1023DC" w:rsidRPr="00526D80">
              <w:rPr>
                <w:rFonts w:asciiTheme="minorHAnsi" w:hAnsiTheme="minorHAnsi" w:cs="Arial"/>
                <w:sz w:val="24"/>
                <w:szCs w:val="24"/>
              </w:rPr>
              <w:t>varies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1023DC" w:rsidRPr="00526D80">
              <w:rPr>
                <w:rFonts w:asciiTheme="minorHAnsi" w:hAnsiTheme="minorHAnsi" w:cs="Arial"/>
                <w:sz w:val="24"/>
                <w:szCs w:val="24"/>
              </w:rPr>
              <w:t>their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ownership interest in a pharmacy business must advise the Pharmacy Premises Committee of that </w:t>
            </w:r>
            <w:r w:rsidR="001023DC" w:rsidRPr="00526D80">
              <w:rPr>
                <w:rFonts w:asciiTheme="minorHAnsi" w:hAnsiTheme="minorHAnsi" w:cs="Arial"/>
                <w:sz w:val="24"/>
                <w:szCs w:val="24"/>
              </w:rPr>
              <w:t>change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at least 28 days prior</w:t>
            </w:r>
            <w:r w:rsidR="003C22B5">
              <w:rPr>
                <w:rFonts w:asciiTheme="minorHAnsi" w:hAnsiTheme="minorHAnsi" w:cs="Arial"/>
                <w:sz w:val="24"/>
                <w:szCs w:val="24"/>
              </w:rPr>
              <w:t xml:space="preserve"> to the proposed change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.  The advice </w:t>
            </w:r>
            <w:proofErr w:type="gramStart"/>
            <w:r w:rsidRPr="00526D80">
              <w:rPr>
                <w:rFonts w:asciiTheme="minorHAnsi" w:hAnsiTheme="minorHAnsi" w:cs="Arial"/>
                <w:sz w:val="24"/>
                <w:szCs w:val="24"/>
              </w:rPr>
              <w:t>must be provided</w:t>
            </w:r>
            <w:proofErr w:type="gramEnd"/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using the </w:t>
            </w:r>
            <w:r w:rsidRPr="00526D80">
              <w:rPr>
                <w:rFonts w:asciiTheme="minorHAnsi" w:hAnsiTheme="minorHAnsi" w:cs="Arial"/>
                <w:b/>
                <w:i/>
                <w:sz w:val="24"/>
                <w:szCs w:val="24"/>
              </w:rPr>
              <w:t>Change of Ownership Form</w:t>
            </w:r>
            <w:r w:rsidR="00453454" w:rsidRPr="00526D80">
              <w:rPr>
                <w:rFonts w:asciiTheme="minorHAnsi" w:hAnsiTheme="minorHAnsi" w:cs="Arial"/>
                <w:b/>
                <w:i/>
                <w:sz w:val="24"/>
                <w:szCs w:val="24"/>
              </w:rPr>
              <w:t>,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3C22B5">
              <w:rPr>
                <w:rFonts w:asciiTheme="minorHAnsi" w:hAnsiTheme="minorHAnsi" w:cs="Arial"/>
                <w:sz w:val="24"/>
                <w:szCs w:val="24"/>
              </w:rPr>
              <w:t xml:space="preserve">including a </w:t>
            </w:r>
            <w:r w:rsidR="003C22B5" w:rsidRPr="00526D80">
              <w:rPr>
                <w:rFonts w:asciiTheme="minorHAnsi" w:hAnsiTheme="minorHAnsi" w:cs="Arial"/>
                <w:sz w:val="24"/>
                <w:szCs w:val="24"/>
              </w:rPr>
              <w:t>declar</w:t>
            </w:r>
            <w:r w:rsidR="003C22B5">
              <w:rPr>
                <w:rFonts w:asciiTheme="minorHAnsi" w:hAnsiTheme="minorHAnsi" w:cs="Arial"/>
                <w:sz w:val="24"/>
                <w:szCs w:val="24"/>
              </w:rPr>
              <w:t>ation</w:t>
            </w:r>
            <w:r w:rsidR="003C22B5" w:rsidRPr="00526D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that the premises meet the minimum standards prescribed by the </w:t>
            </w:r>
            <w:r w:rsidR="005E3798" w:rsidRPr="00526D80">
              <w:rPr>
                <w:rFonts w:asciiTheme="minorHAnsi" w:hAnsiTheme="minorHAnsi" w:cs="Arial"/>
                <w:sz w:val="24"/>
                <w:szCs w:val="24"/>
              </w:rPr>
              <w:t xml:space="preserve">Pharmacy Premises 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>Committee.</w:t>
            </w:r>
            <w:r w:rsidR="005E3798" w:rsidRPr="00526D80">
              <w:rPr>
                <w:rFonts w:asciiTheme="minorHAnsi" w:hAnsiTheme="minorHAnsi" w:cs="Arial"/>
                <w:sz w:val="24"/>
                <w:szCs w:val="24"/>
              </w:rPr>
              <w:t xml:space="preserve">  </w:t>
            </w:r>
          </w:p>
          <w:p w14:paraId="22713127" w14:textId="77777777" w:rsidR="00453454" w:rsidRPr="00526D80" w:rsidRDefault="005E3798" w:rsidP="003804A5">
            <w:pPr>
              <w:spacing w:before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In </w:t>
            </w:r>
            <w:proofErr w:type="gramStart"/>
            <w:r w:rsidRPr="00526D80">
              <w:rPr>
                <w:rFonts w:asciiTheme="minorHAnsi" w:hAnsiTheme="minorHAnsi" w:cs="Arial"/>
                <w:sz w:val="24"/>
                <w:szCs w:val="24"/>
              </w:rPr>
              <w:t>addition</w:t>
            </w:r>
            <w:proofErr w:type="gramEnd"/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each year the Aboriginal Health Service must </w:t>
            </w:r>
            <w:r w:rsidR="00C400CF" w:rsidRPr="00526D80">
              <w:rPr>
                <w:rFonts w:asciiTheme="minorHAnsi" w:hAnsiTheme="minorHAnsi" w:cs="Arial"/>
                <w:sz w:val="24"/>
                <w:szCs w:val="24"/>
              </w:rPr>
              <w:t xml:space="preserve">provide the Pharmacy Premises Committee details of each director and </w:t>
            </w:r>
            <w:r w:rsidR="007D41AB" w:rsidRPr="00526D80">
              <w:rPr>
                <w:rFonts w:asciiTheme="minorHAnsi" w:hAnsiTheme="minorHAnsi" w:cs="Arial"/>
                <w:sz w:val="24"/>
                <w:szCs w:val="24"/>
              </w:rPr>
              <w:t xml:space="preserve">the </w:t>
            </w:r>
            <w:r w:rsidR="00C400CF" w:rsidRPr="00526D80">
              <w:rPr>
                <w:rFonts w:asciiTheme="minorHAnsi" w:hAnsiTheme="minorHAnsi" w:cs="Arial"/>
                <w:sz w:val="24"/>
                <w:szCs w:val="24"/>
              </w:rPr>
              <w:t>chief executive officer</w:t>
            </w:r>
            <w:r w:rsidR="007D41AB" w:rsidRPr="00526D80">
              <w:rPr>
                <w:rFonts w:asciiTheme="minorHAnsi" w:hAnsiTheme="minorHAnsi" w:cs="Arial"/>
                <w:sz w:val="24"/>
                <w:szCs w:val="24"/>
              </w:rPr>
              <w:t xml:space="preserve"> as outlined in the </w:t>
            </w:r>
            <w:r w:rsidR="00C400CF" w:rsidRPr="00526D80">
              <w:rPr>
                <w:rFonts w:asciiTheme="minorHAnsi" w:hAnsiTheme="minorHAnsi" w:cs="Arial"/>
                <w:b/>
                <w:i/>
                <w:sz w:val="24"/>
                <w:szCs w:val="24"/>
              </w:rPr>
              <w:t>Fit and Proper Person Standard</w:t>
            </w:r>
            <w:r w:rsidR="00C400CF" w:rsidRPr="00526D80">
              <w:rPr>
                <w:rFonts w:asciiTheme="minorHAnsi" w:hAnsiTheme="minorHAnsi" w:cs="Arial"/>
                <w:i/>
                <w:sz w:val="24"/>
                <w:szCs w:val="24"/>
              </w:rPr>
              <w:t>.</w:t>
            </w:r>
          </w:p>
        </w:tc>
      </w:tr>
      <w:tr w:rsidR="00B3460B" w:rsidRPr="00CB1E33" w14:paraId="0BA90A3D" w14:textId="77777777" w:rsidTr="005B2B24">
        <w:trPr>
          <w:trHeight w:val="365"/>
        </w:trPr>
        <w:tc>
          <w:tcPr>
            <w:tcW w:w="10490" w:type="dxa"/>
          </w:tcPr>
          <w:p w14:paraId="0601BC7F" w14:textId="6208524D" w:rsidR="00B3460B" w:rsidRPr="0001194C" w:rsidRDefault="00B3460B" w:rsidP="0001194C">
            <w:pPr>
              <w:pStyle w:val="ListParagraph"/>
              <w:numPr>
                <w:ilvl w:val="0"/>
                <w:numId w:val="22"/>
              </w:numPr>
              <w:spacing w:before="0" w:after="0"/>
              <w:ind w:right="3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Details of the Pharmacist-in-Charge</w:t>
            </w:r>
          </w:p>
        </w:tc>
      </w:tr>
      <w:tr w:rsidR="00B3460B" w:rsidRPr="00CB1E33" w14:paraId="50843885" w14:textId="77777777" w:rsidTr="005B2B24">
        <w:trPr>
          <w:trHeight w:val="365"/>
        </w:trPr>
        <w:tc>
          <w:tcPr>
            <w:tcW w:w="10490" w:type="dxa"/>
          </w:tcPr>
          <w:p w14:paraId="25696E37" w14:textId="77777777" w:rsidR="00B3460B" w:rsidRPr="00526D80" w:rsidRDefault="00B3460B" w:rsidP="00B3460B">
            <w:pPr>
              <w:pStyle w:val="ListParagraph"/>
              <w:spacing w:before="0"/>
              <w:ind w:left="0" w:right="3"/>
              <w:rPr>
                <w:rFonts w:asciiTheme="minorHAnsi" w:hAnsiTheme="minorHAnsi" w:cs="Arial"/>
                <w:sz w:val="24"/>
                <w:szCs w:val="24"/>
              </w:rPr>
            </w:pP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The owner of a pharmacy business or pharmacy service must in accordance with Clause 7(2), Schedule 7 of the </w:t>
            </w:r>
            <w:r w:rsidRPr="00526D80">
              <w:rPr>
                <w:rFonts w:asciiTheme="minorHAnsi" w:hAnsiTheme="minorHAnsi" w:cs="Arial"/>
                <w:i/>
                <w:sz w:val="24"/>
                <w:szCs w:val="24"/>
              </w:rPr>
              <w:t xml:space="preserve">HPA 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notify the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Pharmacy Premises 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>Committee in writing of who has been appointed as the pharmacist-in-charge of that pharmacy business or pharmacy service as soon as practicable after the appointment has been made.</w:t>
            </w:r>
          </w:p>
          <w:p w14:paraId="58B5F2B2" w14:textId="77777777" w:rsidR="00B3460B" w:rsidRPr="00526D80" w:rsidRDefault="00B3460B" w:rsidP="00B3460B">
            <w:pPr>
              <w:pStyle w:val="ListParagraph"/>
              <w:spacing w:before="0"/>
              <w:ind w:left="0" w:right="3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72C71C7" w14:textId="77777777" w:rsidR="00B3460B" w:rsidRPr="00526D80" w:rsidRDefault="00B3460B" w:rsidP="00B3460B">
            <w:pPr>
              <w:pStyle w:val="ListParagraph"/>
              <w:spacing w:before="0" w:after="0"/>
              <w:ind w:left="0" w:right="3"/>
              <w:rPr>
                <w:rFonts w:asciiTheme="minorHAnsi" w:hAnsiTheme="minorHAnsi" w:cs="Arial"/>
                <w:sz w:val="24"/>
                <w:szCs w:val="24"/>
              </w:rPr>
            </w:pPr>
            <w:r w:rsidRPr="00526D80">
              <w:rPr>
                <w:rFonts w:asciiTheme="minorHAnsi" w:hAnsiTheme="minorHAnsi" w:cs="Arial"/>
                <w:sz w:val="24"/>
                <w:szCs w:val="24"/>
              </w:rPr>
              <w:t>Maximum Penalty 20 penalty units for individuals and 500 penalty units for a body corporate</w:t>
            </w:r>
          </w:p>
          <w:p w14:paraId="5F15B456" w14:textId="77777777" w:rsidR="00B3460B" w:rsidRPr="00526D80" w:rsidRDefault="00B3460B" w:rsidP="00B3460B">
            <w:pPr>
              <w:pStyle w:val="ListParagraph"/>
              <w:spacing w:before="0" w:after="0"/>
              <w:ind w:left="0" w:right="3"/>
              <w:rPr>
                <w:rFonts w:asciiTheme="minorHAnsi" w:hAnsiTheme="minorHAnsi" w:cs="Arial"/>
                <w:sz w:val="12"/>
                <w:szCs w:val="12"/>
              </w:rPr>
            </w:pPr>
          </w:p>
          <w:p w14:paraId="3B29E007" w14:textId="19FED7D2" w:rsidR="00C50C69" w:rsidRPr="00C50C69" w:rsidRDefault="00C50C69" w:rsidP="000B7884">
            <w:pPr>
              <w:spacing w:before="0" w:after="0"/>
              <w:ind w:left="360" w:right="3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</w:tr>
      <w:tr w:rsidR="0001194C" w:rsidRPr="00CB1E33" w14:paraId="0CD7881F" w14:textId="77777777" w:rsidTr="005B2B24">
        <w:trPr>
          <w:trHeight w:val="365"/>
        </w:trPr>
        <w:tc>
          <w:tcPr>
            <w:tcW w:w="10490" w:type="dxa"/>
          </w:tcPr>
          <w:p w14:paraId="7BC34268" w14:textId="078702F0" w:rsidR="0001194C" w:rsidRPr="0001194C" w:rsidRDefault="0001194C" w:rsidP="0001194C">
            <w:pPr>
              <w:pStyle w:val="ListParagraph"/>
              <w:numPr>
                <w:ilvl w:val="0"/>
                <w:numId w:val="22"/>
              </w:numPr>
              <w:spacing w:before="0" w:after="0"/>
              <w:ind w:right="3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1194C">
              <w:rPr>
                <w:rFonts w:asciiTheme="minorHAnsi" w:hAnsiTheme="minorHAnsi" w:cs="Arial"/>
                <w:b/>
                <w:sz w:val="24"/>
                <w:szCs w:val="24"/>
              </w:rPr>
              <w:t>Administration of a Pharmacy Business</w:t>
            </w:r>
          </w:p>
        </w:tc>
      </w:tr>
      <w:tr w:rsidR="0001194C" w:rsidRPr="00CB1E33" w14:paraId="243EFB80" w14:textId="77777777" w:rsidTr="005B2B24">
        <w:trPr>
          <w:trHeight w:val="365"/>
        </w:trPr>
        <w:tc>
          <w:tcPr>
            <w:tcW w:w="10490" w:type="dxa"/>
          </w:tcPr>
          <w:p w14:paraId="5137BBA6" w14:textId="77777777" w:rsidR="0001194C" w:rsidRPr="0001194C" w:rsidRDefault="0001194C" w:rsidP="0001194C">
            <w:pPr>
              <w:tabs>
                <w:tab w:val="left" w:pos="1134"/>
              </w:tabs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194C">
              <w:rPr>
                <w:rFonts w:asciiTheme="minorHAnsi" w:hAnsiTheme="minorHAnsi" w:cstheme="minorHAnsi"/>
                <w:sz w:val="24"/>
                <w:szCs w:val="24"/>
              </w:rPr>
              <w:t>Pharmacy businesses entering in to administration may do so either voluntarily or by involuntary means including:</w:t>
            </w:r>
          </w:p>
          <w:p w14:paraId="6226A5EC" w14:textId="77777777" w:rsidR="0001194C" w:rsidRPr="0001194C" w:rsidRDefault="0001194C" w:rsidP="0001194C">
            <w:pPr>
              <w:pStyle w:val="ListParagraph"/>
              <w:numPr>
                <w:ilvl w:val="0"/>
                <w:numId w:val="23"/>
              </w:numPr>
              <w:tabs>
                <w:tab w:val="left" w:pos="1134"/>
              </w:tabs>
              <w:spacing w:before="0" w:after="0"/>
              <w:ind w:left="567" w:hanging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194C">
              <w:rPr>
                <w:rFonts w:asciiTheme="minorHAnsi" w:hAnsiTheme="minorHAnsi" w:cstheme="minorHAnsi"/>
                <w:sz w:val="24"/>
                <w:szCs w:val="24"/>
              </w:rPr>
              <w:t>The death of a pharmacist proprietor; or</w:t>
            </w:r>
          </w:p>
          <w:p w14:paraId="7FB83322" w14:textId="77777777" w:rsidR="0001194C" w:rsidRPr="0001194C" w:rsidRDefault="0001194C" w:rsidP="0001194C">
            <w:pPr>
              <w:pStyle w:val="ListParagraph"/>
              <w:numPr>
                <w:ilvl w:val="0"/>
                <w:numId w:val="23"/>
              </w:numPr>
              <w:tabs>
                <w:tab w:val="left" w:pos="1134"/>
              </w:tabs>
              <w:spacing w:before="0" w:after="0"/>
              <w:ind w:left="567" w:hanging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194C">
              <w:rPr>
                <w:rFonts w:asciiTheme="minorHAnsi" w:hAnsiTheme="minorHAnsi" w:cstheme="minorHAnsi"/>
                <w:sz w:val="24"/>
                <w:szCs w:val="24"/>
              </w:rPr>
              <w:t>A person declared bankrupt who owns a pharmacy or part there of; or</w:t>
            </w:r>
          </w:p>
          <w:p w14:paraId="588EAED7" w14:textId="265E3741" w:rsidR="0001194C" w:rsidRPr="0001194C" w:rsidRDefault="0001194C" w:rsidP="0001194C">
            <w:pPr>
              <w:pStyle w:val="ListParagraph"/>
              <w:numPr>
                <w:ilvl w:val="0"/>
                <w:numId w:val="23"/>
              </w:numPr>
              <w:tabs>
                <w:tab w:val="left" w:pos="1134"/>
              </w:tabs>
              <w:spacing w:before="0" w:after="0"/>
              <w:ind w:left="567" w:hanging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194C">
              <w:rPr>
                <w:rFonts w:asciiTheme="minorHAnsi" w:hAnsiTheme="minorHAnsi" w:cstheme="minorHAnsi"/>
                <w:sz w:val="24"/>
                <w:szCs w:val="24"/>
              </w:rPr>
              <w:t xml:space="preserve">A corporation declared under the </w:t>
            </w:r>
            <w:r w:rsidRPr="0001194C">
              <w:rPr>
                <w:rFonts w:asciiTheme="minorHAnsi" w:hAnsiTheme="minorHAnsi" w:cstheme="minorHAnsi"/>
                <w:i/>
                <w:sz w:val="24"/>
                <w:szCs w:val="24"/>
              </w:rPr>
              <w:t>Corporations Act</w:t>
            </w:r>
            <w:r w:rsidR="00A7740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2001</w:t>
            </w:r>
            <w:r w:rsidRPr="0001194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</w:t>
            </w:r>
            <w:proofErr w:type="spellStart"/>
            <w:r w:rsidRPr="0001194C">
              <w:rPr>
                <w:rFonts w:asciiTheme="minorHAnsi" w:hAnsiTheme="minorHAnsi" w:cstheme="minorHAnsi"/>
                <w:i/>
                <w:sz w:val="24"/>
                <w:szCs w:val="24"/>
              </w:rPr>
              <w:t>Cth</w:t>
            </w:r>
            <w:proofErr w:type="spellEnd"/>
            <w:r w:rsidRPr="0001194C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Pr="0001194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4D641F3" w14:textId="77777777" w:rsidR="0001194C" w:rsidRPr="0001194C" w:rsidRDefault="0001194C" w:rsidP="0001194C">
            <w:pPr>
              <w:tabs>
                <w:tab w:val="left" w:pos="1134"/>
              </w:tabs>
              <w:spacing w:before="0" w:after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FD336DA" w14:textId="0E714A23" w:rsidR="0001194C" w:rsidRDefault="0001194C" w:rsidP="0001194C">
            <w:pPr>
              <w:tabs>
                <w:tab w:val="left" w:pos="1134"/>
              </w:tabs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Notification of administration must be as soon as practicable after the event.</w:t>
            </w:r>
          </w:p>
          <w:p w14:paraId="461D4BC6" w14:textId="77777777" w:rsidR="0001194C" w:rsidRPr="0001194C" w:rsidRDefault="0001194C" w:rsidP="0001194C">
            <w:pPr>
              <w:tabs>
                <w:tab w:val="left" w:pos="1134"/>
              </w:tabs>
              <w:spacing w:before="0" w:after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AACEAEE" w14:textId="75A20139" w:rsidR="0001194C" w:rsidRPr="0001194C" w:rsidRDefault="0001194C" w:rsidP="0001194C">
            <w:pPr>
              <w:tabs>
                <w:tab w:val="left" w:pos="1134"/>
              </w:tabs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Premises assessment of p</w:t>
            </w:r>
            <w:r w:rsidRPr="0001194C">
              <w:rPr>
                <w:rFonts w:asciiTheme="minorHAnsi" w:hAnsiTheme="minorHAnsi" w:cstheme="minorHAnsi"/>
                <w:sz w:val="24"/>
                <w:szCs w:val="24"/>
              </w:rPr>
              <w:t xml:space="preserve">harmacy businesses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under </w:t>
            </w:r>
            <w:r w:rsidRPr="0001194C">
              <w:rPr>
                <w:rFonts w:asciiTheme="minorHAnsi" w:hAnsiTheme="minorHAnsi" w:cstheme="minorHAnsi"/>
                <w:sz w:val="24"/>
                <w:szCs w:val="24"/>
              </w:rPr>
              <w:t>administration will be yearly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s</w:t>
            </w:r>
            <w:r w:rsidRPr="0001194C">
              <w:rPr>
                <w:rFonts w:asciiTheme="minorHAnsi" w:hAnsiTheme="minorHAnsi" w:cstheme="minorHAnsi"/>
                <w:sz w:val="24"/>
                <w:szCs w:val="24"/>
              </w:rPr>
              <w:t xml:space="preserve">ubject to assessment, businesses will be issued with a conditional Certificate of </w:t>
            </w:r>
            <w:proofErr w:type="gramStart"/>
            <w:r w:rsidRPr="0001194C">
              <w:rPr>
                <w:rFonts w:asciiTheme="minorHAnsi" w:hAnsiTheme="minorHAnsi" w:cstheme="minorHAnsi"/>
                <w:sz w:val="24"/>
                <w:szCs w:val="24"/>
              </w:rPr>
              <w:t>Compliance</w:t>
            </w:r>
            <w:proofErr w:type="gramEnd"/>
            <w:r w:rsidRPr="0001194C">
              <w:rPr>
                <w:rFonts w:asciiTheme="minorHAnsi" w:hAnsiTheme="minorHAnsi" w:cstheme="minorHAnsi"/>
                <w:sz w:val="24"/>
                <w:szCs w:val="24"/>
              </w:rPr>
              <w:t xml:space="preserve"> as ownership provisions cannot be verified.</w:t>
            </w:r>
          </w:p>
          <w:p w14:paraId="36BD9CC8" w14:textId="77777777" w:rsidR="0001194C" w:rsidRPr="0001194C" w:rsidRDefault="0001194C" w:rsidP="0001194C">
            <w:pPr>
              <w:tabs>
                <w:tab w:val="left" w:pos="1134"/>
              </w:tabs>
              <w:spacing w:before="0" w:after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33462D9" w14:textId="4E708324" w:rsidR="0001194C" w:rsidRPr="0001194C" w:rsidRDefault="0001194C" w:rsidP="0001194C">
            <w:pPr>
              <w:tabs>
                <w:tab w:val="left" w:pos="1134"/>
              </w:tabs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194C">
              <w:rPr>
                <w:rFonts w:asciiTheme="minorHAnsi" w:hAnsiTheme="minorHAnsi" w:cstheme="minorHAnsi"/>
                <w:sz w:val="24"/>
                <w:szCs w:val="24"/>
              </w:rPr>
              <w:t xml:space="preserve">If the administration of a pharmacy business continues for a period greater than 12 months, administrators must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notify</w:t>
            </w:r>
            <w:r w:rsidRPr="0001194C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Pharmacy Premises </w:t>
            </w:r>
            <w:r w:rsidRPr="0001194C">
              <w:rPr>
                <w:rFonts w:asciiTheme="minorHAnsi" w:hAnsiTheme="minorHAnsi" w:cstheme="minorHAnsi"/>
                <w:sz w:val="24"/>
                <w:szCs w:val="24"/>
              </w:rPr>
              <w:t xml:space="preserve">Committee </w:t>
            </w:r>
            <w:r w:rsidR="002D696C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01194C">
              <w:rPr>
                <w:rFonts w:asciiTheme="minorHAnsi" w:hAnsiTheme="minorHAnsi" w:cstheme="minorHAnsi"/>
                <w:sz w:val="24"/>
                <w:szCs w:val="24"/>
              </w:rPr>
              <w:t xml:space="preserve"> an extension of administration arrangements.</w:t>
            </w:r>
          </w:p>
          <w:p w14:paraId="2E5594EC" w14:textId="77777777" w:rsidR="0001194C" w:rsidRPr="00557B2E" w:rsidRDefault="0001194C" w:rsidP="007D41AB">
            <w:pPr>
              <w:spacing w:before="0" w:after="0"/>
              <w:ind w:right="3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</w:tbl>
    <w:p w14:paraId="3D45B4B1" w14:textId="5372C32D" w:rsidR="00EB2805" w:rsidRDefault="00EB2805"/>
    <w:tbl>
      <w:tblPr>
        <w:tblStyle w:val="TableGrid"/>
        <w:tblW w:w="0" w:type="auto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526D80" w:rsidRPr="00526D80" w14:paraId="73FF97C0" w14:textId="77777777" w:rsidTr="00EB2805">
        <w:trPr>
          <w:trHeight w:val="365"/>
        </w:trPr>
        <w:tc>
          <w:tcPr>
            <w:tcW w:w="10490" w:type="dxa"/>
          </w:tcPr>
          <w:p w14:paraId="6366A61D" w14:textId="3587FEC6" w:rsidR="00137729" w:rsidRPr="0081379E" w:rsidRDefault="00930DE3" w:rsidP="00EB2805">
            <w:pPr>
              <w:pStyle w:val="ListParagraph"/>
              <w:spacing w:before="0" w:after="0"/>
              <w:ind w:left="0"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81379E">
              <w:rPr>
                <w:rFonts w:asciiTheme="minorHAnsi" w:hAnsiTheme="minorHAnsi" w:cs="Arial"/>
                <w:b/>
                <w:sz w:val="28"/>
                <w:szCs w:val="28"/>
              </w:rPr>
              <w:t>EVIDENCE OF COMPLIANCE</w:t>
            </w:r>
          </w:p>
        </w:tc>
      </w:tr>
      <w:tr w:rsidR="00526D80" w:rsidRPr="00526D80" w14:paraId="47A67918" w14:textId="77777777" w:rsidTr="00EB2805">
        <w:trPr>
          <w:trHeight w:val="365"/>
        </w:trPr>
        <w:tc>
          <w:tcPr>
            <w:tcW w:w="10490" w:type="dxa"/>
          </w:tcPr>
          <w:p w14:paraId="2F6D8C33" w14:textId="77777777" w:rsidR="00137729" w:rsidRPr="00526D80" w:rsidRDefault="001D53E4" w:rsidP="00137729">
            <w:pPr>
              <w:pStyle w:val="ListParagraph"/>
              <w:spacing w:before="0" w:after="0"/>
              <w:ind w:left="0" w:right="3"/>
              <w:rPr>
                <w:rFonts w:asciiTheme="minorHAnsi" w:hAnsiTheme="minorHAnsi" w:cs="Arial"/>
                <w:sz w:val="24"/>
                <w:szCs w:val="24"/>
              </w:rPr>
            </w:pPr>
            <w:r w:rsidRPr="00526D80">
              <w:rPr>
                <w:rFonts w:asciiTheme="minorHAnsi" w:hAnsiTheme="minorHAnsi" w:cs="Arial"/>
                <w:sz w:val="24"/>
                <w:szCs w:val="24"/>
              </w:rPr>
              <w:t>A</w:t>
            </w:r>
            <w:r w:rsidR="00137729" w:rsidRPr="00526D80">
              <w:rPr>
                <w:rFonts w:asciiTheme="minorHAnsi" w:hAnsiTheme="minorHAnsi" w:cs="Arial"/>
                <w:sz w:val="24"/>
                <w:szCs w:val="24"/>
              </w:rPr>
              <w:t xml:space="preserve"> pharmacy business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or pharmacy service</w:t>
            </w:r>
            <w:r w:rsidR="00137729" w:rsidRPr="00526D80">
              <w:rPr>
                <w:rFonts w:asciiTheme="minorHAnsi" w:hAnsiTheme="minorHAnsi" w:cs="Arial"/>
                <w:sz w:val="24"/>
                <w:szCs w:val="24"/>
              </w:rPr>
              <w:t xml:space="preserve"> must advise the </w:t>
            </w:r>
            <w:r w:rsidR="00FA582C" w:rsidRPr="00526D80">
              <w:rPr>
                <w:rFonts w:asciiTheme="minorHAnsi" w:hAnsiTheme="minorHAnsi" w:cs="Arial"/>
                <w:sz w:val="24"/>
                <w:szCs w:val="24"/>
              </w:rPr>
              <w:t xml:space="preserve">Pharmacy Premises </w:t>
            </w:r>
            <w:r w:rsidR="00137729" w:rsidRPr="00526D80">
              <w:rPr>
                <w:rFonts w:asciiTheme="minorHAnsi" w:hAnsiTheme="minorHAnsi" w:cs="Arial"/>
                <w:sz w:val="24"/>
                <w:szCs w:val="24"/>
              </w:rPr>
              <w:t>Committee when requested to do so</w:t>
            </w:r>
            <w:r w:rsidR="00C20448" w:rsidRPr="00526D80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="00137729" w:rsidRPr="00526D80">
              <w:rPr>
                <w:rFonts w:asciiTheme="minorHAnsi" w:hAnsiTheme="minorHAnsi" w:cs="Arial"/>
                <w:sz w:val="24"/>
                <w:szCs w:val="24"/>
              </w:rPr>
              <w:t xml:space="preserve"> evidence of the following applicable to their circumstances:</w:t>
            </w:r>
          </w:p>
          <w:p w14:paraId="18A8464A" w14:textId="77777777" w:rsidR="00137729" w:rsidRPr="00526D80" w:rsidRDefault="00137729" w:rsidP="00137729">
            <w:pPr>
              <w:pStyle w:val="ListParagraph"/>
              <w:numPr>
                <w:ilvl w:val="0"/>
                <w:numId w:val="18"/>
              </w:numPr>
              <w:spacing w:before="0" w:after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C20448" w:rsidRPr="00526D80">
              <w:rPr>
                <w:rFonts w:asciiTheme="minorHAnsi" w:hAnsiTheme="minorHAnsi" w:cs="Arial"/>
                <w:sz w:val="24"/>
                <w:szCs w:val="24"/>
              </w:rPr>
              <w:t>a copy of the partnership agreement</w:t>
            </w:r>
            <w:r w:rsidR="0090753C" w:rsidRPr="00526D80">
              <w:rPr>
                <w:rFonts w:asciiTheme="minorHAnsi" w:hAnsiTheme="minorHAnsi" w:cs="Arial"/>
                <w:sz w:val="24"/>
                <w:szCs w:val="24"/>
              </w:rPr>
              <w:t>; or</w:t>
            </w:r>
          </w:p>
          <w:p w14:paraId="0A9D3C7C" w14:textId="77777777" w:rsidR="00C20448" w:rsidRPr="00526D80" w:rsidRDefault="00C20448" w:rsidP="001D53E4">
            <w:pPr>
              <w:pStyle w:val="ListParagraph"/>
              <w:numPr>
                <w:ilvl w:val="0"/>
                <w:numId w:val="18"/>
              </w:numPr>
              <w:spacing w:before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details of company structure including any trust structure and deed</w:t>
            </w:r>
            <w:r w:rsidR="0090753C" w:rsidRPr="00526D80">
              <w:rPr>
                <w:rFonts w:asciiTheme="minorHAnsi" w:hAnsiTheme="minorHAnsi" w:cs="Arial"/>
                <w:sz w:val="24"/>
                <w:szCs w:val="24"/>
              </w:rPr>
              <w:t>; or</w:t>
            </w:r>
          </w:p>
          <w:p w14:paraId="4D260BFB" w14:textId="77777777" w:rsidR="0090753C" w:rsidRPr="00526D80" w:rsidRDefault="0090753C" w:rsidP="0090753C">
            <w:pPr>
              <w:pStyle w:val="ListParagraph"/>
              <w:numPr>
                <w:ilvl w:val="0"/>
                <w:numId w:val="18"/>
              </w:numPr>
              <w:spacing w:before="0"/>
              <w:ind w:right="3"/>
              <w:rPr>
                <w:rFonts w:asciiTheme="minorHAnsi" w:hAnsiTheme="minorHAnsi" w:cs="Arial"/>
                <w:sz w:val="24"/>
                <w:szCs w:val="24"/>
              </w:rPr>
            </w:pP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statutory evidence of the pharmacy service</w:t>
            </w:r>
          </w:p>
        </w:tc>
      </w:tr>
    </w:tbl>
    <w:p w14:paraId="5880708C" w14:textId="77777777" w:rsidR="00137729" w:rsidRPr="00EB2805" w:rsidRDefault="00137729" w:rsidP="003804A5">
      <w:pPr>
        <w:spacing w:before="0" w:after="0"/>
        <w:ind w:left="-284"/>
        <w:rPr>
          <w:sz w:val="12"/>
          <w:szCs w:val="12"/>
        </w:rPr>
      </w:pPr>
    </w:p>
    <w:tbl>
      <w:tblPr>
        <w:tblStyle w:val="TableGrid"/>
        <w:tblW w:w="0" w:type="auto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526D80" w:rsidRPr="00526D80" w14:paraId="5ECD1207" w14:textId="77777777" w:rsidTr="00D93161">
        <w:trPr>
          <w:trHeight w:val="365"/>
        </w:trPr>
        <w:tc>
          <w:tcPr>
            <w:tcW w:w="10692" w:type="dxa"/>
          </w:tcPr>
          <w:p w14:paraId="526A9B1A" w14:textId="77777777" w:rsidR="00137729" w:rsidRPr="0081379E" w:rsidRDefault="00930DE3" w:rsidP="00EB2805">
            <w:pPr>
              <w:pStyle w:val="ListParagraph"/>
              <w:spacing w:before="0"/>
              <w:ind w:left="0" w:right="3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81379E">
              <w:rPr>
                <w:rFonts w:asciiTheme="minorHAnsi" w:hAnsiTheme="minorHAnsi" w:cs="Arial"/>
                <w:b/>
                <w:sz w:val="28"/>
                <w:szCs w:val="28"/>
              </w:rPr>
              <w:t>FAILURE TO COMPLY</w:t>
            </w:r>
          </w:p>
        </w:tc>
      </w:tr>
      <w:tr w:rsidR="00526D80" w:rsidRPr="00526D80" w14:paraId="2EBB954D" w14:textId="77777777" w:rsidTr="00D93161">
        <w:trPr>
          <w:trHeight w:val="365"/>
        </w:trPr>
        <w:tc>
          <w:tcPr>
            <w:tcW w:w="10692" w:type="dxa"/>
          </w:tcPr>
          <w:p w14:paraId="7C3991B9" w14:textId="5DF6EB1F" w:rsidR="00137729" w:rsidRPr="00526D80" w:rsidRDefault="00137729" w:rsidP="00C20448">
            <w:pPr>
              <w:pStyle w:val="ListParagraph"/>
              <w:spacing w:before="0" w:after="0"/>
              <w:ind w:left="0" w:right="3"/>
              <w:rPr>
                <w:rFonts w:asciiTheme="minorHAnsi" w:hAnsiTheme="minorHAnsi" w:cs="Arial"/>
                <w:sz w:val="24"/>
                <w:szCs w:val="24"/>
              </w:rPr>
            </w:pP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Section 107 of the </w:t>
            </w:r>
            <w:r w:rsidRPr="00526D80">
              <w:rPr>
                <w:rFonts w:asciiTheme="minorHAnsi" w:hAnsiTheme="minorHAnsi" w:cs="Arial"/>
                <w:i/>
                <w:sz w:val="24"/>
                <w:szCs w:val="24"/>
              </w:rPr>
              <w:t>HPA</w:t>
            </w:r>
            <w:r w:rsidRPr="00526D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C20448" w:rsidRPr="00526D80">
              <w:rPr>
                <w:rFonts w:asciiTheme="minorHAnsi" w:hAnsiTheme="minorHAnsi" w:cs="Arial"/>
                <w:sz w:val="24"/>
                <w:szCs w:val="24"/>
              </w:rPr>
              <w:t xml:space="preserve">states that a person must not obstruct, hinder, threaten or intimidate an Inspector or the </w:t>
            </w:r>
            <w:r w:rsidR="00F02AE5">
              <w:rPr>
                <w:rFonts w:asciiTheme="minorHAnsi" w:hAnsiTheme="minorHAnsi" w:cs="Arial"/>
                <w:sz w:val="24"/>
                <w:szCs w:val="24"/>
              </w:rPr>
              <w:t xml:space="preserve">Pharmacy </w:t>
            </w:r>
            <w:r w:rsidR="00FD6C49">
              <w:rPr>
                <w:rFonts w:asciiTheme="minorHAnsi" w:hAnsiTheme="minorHAnsi" w:cs="Arial"/>
                <w:sz w:val="24"/>
                <w:szCs w:val="24"/>
              </w:rPr>
              <w:t xml:space="preserve">Premises </w:t>
            </w:r>
            <w:r w:rsidR="00C20448" w:rsidRPr="00526D80">
              <w:rPr>
                <w:rFonts w:asciiTheme="minorHAnsi" w:hAnsiTheme="minorHAnsi" w:cs="Arial"/>
                <w:sz w:val="24"/>
                <w:szCs w:val="24"/>
              </w:rPr>
              <w:t>Committee</w:t>
            </w:r>
            <w:r w:rsidR="001D53E4" w:rsidRPr="00526D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EF3B50">
              <w:rPr>
                <w:rFonts w:asciiTheme="minorHAnsi" w:hAnsiTheme="minorHAnsi" w:cs="Arial"/>
                <w:sz w:val="24"/>
                <w:szCs w:val="24"/>
              </w:rPr>
              <w:t>(</w:t>
            </w:r>
            <w:r w:rsidR="00EF3B50" w:rsidRPr="00440095">
              <w:rPr>
                <w:rFonts w:asciiTheme="minorHAnsi" w:hAnsiTheme="minorHAnsi" w:cs="Arial"/>
                <w:sz w:val="24"/>
                <w:szCs w:val="24"/>
              </w:rPr>
              <w:t>which is a legal person – it is created as a body corpo</w:t>
            </w:r>
            <w:r w:rsidR="00440095" w:rsidRPr="00440095"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="00EF3B50" w:rsidRPr="00440095">
              <w:rPr>
                <w:rFonts w:asciiTheme="minorHAnsi" w:hAnsiTheme="minorHAnsi" w:cs="Arial"/>
                <w:sz w:val="24"/>
                <w:szCs w:val="24"/>
              </w:rPr>
              <w:t>ate which is a legal person</w:t>
            </w:r>
            <w:r w:rsidR="00440095">
              <w:rPr>
                <w:rFonts w:asciiTheme="minorHAnsi" w:hAnsiTheme="minorHAnsi" w:cs="Arial"/>
                <w:sz w:val="24"/>
                <w:szCs w:val="24"/>
              </w:rPr>
              <w:t xml:space="preserve">) </w:t>
            </w:r>
            <w:r w:rsidR="001D53E4" w:rsidRPr="00526D80">
              <w:rPr>
                <w:rFonts w:asciiTheme="minorHAnsi" w:hAnsiTheme="minorHAnsi" w:cs="Arial"/>
                <w:sz w:val="24"/>
                <w:szCs w:val="24"/>
              </w:rPr>
              <w:t>when exercising a power or performing a function</w:t>
            </w:r>
            <w:r w:rsidR="000B7B21" w:rsidRPr="00526D80">
              <w:rPr>
                <w:rFonts w:asciiTheme="minorHAnsi" w:hAnsiTheme="minorHAnsi" w:cs="Arial"/>
                <w:sz w:val="24"/>
                <w:szCs w:val="24"/>
              </w:rPr>
              <w:t xml:space="preserve"> of the act</w:t>
            </w:r>
            <w:r w:rsidR="00C20448" w:rsidRPr="00526D80">
              <w:rPr>
                <w:rFonts w:asciiTheme="minorHAnsi" w:hAnsiTheme="minorHAnsi" w:cs="Arial"/>
                <w:sz w:val="24"/>
                <w:szCs w:val="24"/>
              </w:rPr>
              <w:t xml:space="preserve">. </w:t>
            </w:r>
          </w:p>
          <w:p w14:paraId="479857B9" w14:textId="77777777" w:rsidR="00C20448" w:rsidRPr="00526D80" w:rsidRDefault="00C20448" w:rsidP="00C20448">
            <w:pPr>
              <w:pStyle w:val="ListParagraph"/>
              <w:spacing w:before="0" w:after="0"/>
              <w:ind w:left="0" w:right="3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789479E" w14:textId="24686A73" w:rsidR="00C20448" w:rsidRPr="00526D80" w:rsidRDefault="00C20448" w:rsidP="00C20448">
            <w:pPr>
              <w:pStyle w:val="ListParagraph"/>
              <w:spacing w:before="0" w:after="0"/>
              <w:ind w:left="0" w:right="3"/>
              <w:rPr>
                <w:rFonts w:asciiTheme="minorHAnsi" w:hAnsiTheme="minorHAnsi" w:cs="Arial"/>
                <w:sz w:val="12"/>
                <w:szCs w:val="12"/>
              </w:rPr>
            </w:pPr>
            <w:r w:rsidRPr="00526D80">
              <w:rPr>
                <w:rFonts w:asciiTheme="minorHAnsi" w:hAnsiTheme="minorHAnsi" w:cs="Arial"/>
                <w:sz w:val="24"/>
                <w:szCs w:val="24"/>
              </w:rPr>
              <w:t>Maximum Penalty 500 penalty units</w:t>
            </w:r>
          </w:p>
          <w:p w14:paraId="088D45CE" w14:textId="2FF23EC7" w:rsidR="00C20448" w:rsidRPr="00557B2E" w:rsidRDefault="00C20448" w:rsidP="00557B2E">
            <w:pPr>
              <w:pStyle w:val="ListParagraph"/>
              <w:spacing w:before="0" w:after="0"/>
              <w:ind w:left="0" w:right="3"/>
              <w:rPr>
                <w:rFonts w:asciiTheme="minorHAnsi" w:hAnsiTheme="minorHAnsi" w:cs="Arial"/>
                <w:i/>
                <w:sz w:val="12"/>
                <w:szCs w:val="12"/>
              </w:rPr>
            </w:pPr>
          </w:p>
        </w:tc>
      </w:tr>
    </w:tbl>
    <w:p w14:paraId="6D5B7DEA" w14:textId="77777777" w:rsidR="00137729" w:rsidRPr="00EB2805" w:rsidRDefault="00137729" w:rsidP="003804A5">
      <w:pPr>
        <w:spacing w:before="0" w:after="0"/>
        <w:ind w:left="-284"/>
        <w:rPr>
          <w:sz w:val="12"/>
          <w:szCs w:val="12"/>
        </w:rPr>
      </w:pPr>
    </w:p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526D80" w:rsidRPr="00526D80" w14:paraId="499F5665" w14:textId="77777777" w:rsidTr="00EB2805">
        <w:trPr>
          <w:trHeight w:val="325"/>
        </w:trPr>
        <w:tc>
          <w:tcPr>
            <w:tcW w:w="10485" w:type="dxa"/>
          </w:tcPr>
          <w:p w14:paraId="69FA7D21" w14:textId="77777777" w:rsidR="002F0C82" w:rsidRPr="0081379E" w:rsidRDefault="005369E3" w:rsidP="00EB2805">
            <w:pPr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81379E">
              <w:rPr>
                <w:rFonts w:asciiTheme="minorHAnsi" w:hAnsiTheme="minorHAnsi"/>
                <w:b/>
                <w:sz w:val="28"/>
                <w:szCs w:val="28"/>
              </w:rPr>
              <w:t>DISCLAIMER</w:t>
            </w:r>
          </w:p>
        </w:tc>
      </w:tr>
      <w:tr w:rsidR="00526D80" w:rsidRPr="00526D80" w14:paraId="373ADA58" w14:textId="77777777" w:rsidTr="00EB2805">
        <w:trPr>
          <w:trHeight w:val="509"/>
        </w:trPr>
        <w:tc>
          <w:tcPr>
            <w:tcW w:w="10485" w:type="dxa"/>
          </w:tcPr>
          <w:p w14:paraId="00C240C1" w14:textId="77777777" w:rsidR="002F0C82" w:rsidRPr="00526D80" w:rsidRDefault="002F0C82" w:rsidP="00BB3F26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26D80">
              <w:rPr>
                <w:rFonts w:asciiTheme="minorHAnsi" w:hAnsiTheme="minorHAnsi"/>
                <w:sz w:val="24"/>
                <w:szCs w:val="24"/>
              </w:rPr>
              <w:t>In case of any conflict or discrepancy between this document and legislation, the legislation prevails</w:t>
            </w:r>
            <w:r w:rsidR="00B60FD3" w:rsidRPr="00526D80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14:paraId="67D73E94" w14:textId="77777777" w:rsidR="00C400CF" w:rsidRDefault="00C400CF" w:rsidP="006A4977">
      <w:pPr>
        <w:jc w:val="center"/>
      </w:pPr>
    </w:p>
    <w:p w14:paraId="4788AC8D" w14:textId="77777777" w:rsidR="002F0C82" w:rsidRDefault="002F0C82" w:rsidP="006A4977">
      <w:pPr>
        <w:jc w:val="center"/>
      </w:pPr>
    </w:p>
    <w:sectPr w:rsidR="002F0C82" w:rsidSect="00EB2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4F4D7" w14:textId="77777777" w:rsidR="001F3BC9" w:rsidRDefault="001F3BC9" w:rsidP="000224DC">
      <w:pPr>
        <w:spacing w:before="0" w:after="0"/>
      </w:pPr>
      <w:r>
        <w:separator/>
      </w:r>
    </w:p>
  </w:endnote>
  <w:endnote w:type="continuationSeparator" w:id="0">
    <w:p w14:paraId="292A2351" w14:textId="77777777" w:rsidR="001F3BC9" w:rsidRDefault="001F3BC9" w:rsidP="000224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C49A4" w14:textId="77777777" w:rsidR="00882911" w:rsidRDefault="00882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08832" w14:textId="3008649F" w:rsidR="00B60FD3" w:rsidRDefault="002F374D" w:rsidP="002F374D">
    <w:pPr>
      <w:pStyle w:val="Footer"/>
      <w:tabs>
        <w:tab w:val="clear" w:pos="4513"/>
        <w:tab w:val="left" w:pos="4515"/>
      </w:tabs>
    </w:pPr>
    <w:r>
      <w:tab/>
    </w:r>
    <w:r>
      <w:tab/>
    </w:r>
  </w:p>
  <w:p w14:paraId="23E5B404" w14:textId="77777777" w:rsidR="00B60FD3" w:rsidRDefault="00B60FD3">
    <w:pPr>
      <w:pStyle w:val="Footer"/>
      <w:jc w:val="center"/>
    </w:pPr>
  </w:p>
  <w:tbl>
    <w:tblPr>
      <w:tblStyle w:val="TableGrid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5231"/>
      <w:gridCol w:w="5225"/>
    </w:tblGrid>
    <w:tr w:rsidR="00B60FD3" w14:paraId="44CBA32D" w14:textId="77777777" w:rsidTr="00D06F62">
      <w:tc>
        <w:tcPr>
          <w:tcW w:w="5341" w:type="dxa"/>
        </w:tcPr>
        <w:p w14:paraId="3E37CCBA" w14:textId="77777777" w:rsidR="00B60FD3" w:rsidRPr="00D06F62" w:rsidRDefault="00B60FD3" w:rsidP="00D06F62">
          <w:pPr>
            <w:pStyle w:val="Footer"/>
            <w:rPr>
              <w:rFonts w:asciiTheme="minorHAnsi" w:hAnsiTheme="minorHAnsi"/>
            </w:rPr>
          </w:pPr>
          <w:r w:rsidRPr="00D06F62">
            <w:rPr>
              <w:rFonts w:asciiTheme="minorHAnsi" w:hAnsiTheme="minorHAnsi"/>
            </w:rPr>
            <w:t>Endorsed By:</w:t>
          </w:r>
          <w:r>
            <w:rPr>
              <w:rFonts w:asciiTheme="minorHAnsi" w:hAnsiTheme="minorHAnsi"/>
            </w:rPr>
            <w:t xml:space="preserve"> </w:t>
          </w:r>
          <w:r w:rsidR="005F6443">
            <w:rPr>
              <w:rFonts w:asciiTheme="minorHAnsi" w:hAnsiTheme="minorHAnsi"/>
            </w:rPr>
            <w:t xml:space="preserve">NT </w:t>
          </w:r>
          <w:r>
            <w:rPr>
              <w:rFonts w:asciiTheme="minorHAnsi" w:hAnsiTheme="minorHAnsi"/>
            </w:rPr>
            <w:t>Pharmacy Premises Committee</w:t>
          </w:r>
        </w:p>
      </w:tc>
      <w:tc>
        <w:tcPr>
          <w:tcW w:w="5341" w:type="dxa"/>
        </w:tcPr>
        <w:p w14:paraId="7DB5DC26" w14:textId="030A2640" w:rsidR="00B60FD3" w:rsidRPr="00D06F62" w:rsidRDefault="00B60FD3" w:rsidP="0082614A">
          <w:pPr>
            <w:pStyle w:val="Footer"/>
            <w:rPr>
              <w:rFonts w:asciiTheme="minorHAnsi" w:hAnsiTheme="minorHAnsi"/>
            </w:rPr>
          </w:pPr>
          <w:r w:rsidRPr="00D06F62">
            <w:rPr>
              <w:rFonts w:asciiTheme="minorHAnsi" w:hAnsiTheme="minorHAnsi"/>
            </w:rPr>
            <w:t>Effective Date:</w:t>
          </w:r>
          <w:r>
            <w:rPr>
              <w:rFonts w:asciiTheme="minorHAnsi" w:hAnsiTheme="minorHAnsi"/>
            </w:rPr>
            <w:t xml:space="preserve"> </w:t>
          </w:r>
          <w:r w:rsidR="002F374D">
            <w:rPr>
              <w:rFonts w:asciiTheme="minorHAnsi" w:hAnsiTheme="minorHAnsi"/>
            </w:rPr>
            <w:t xml:space="preserve">1 </w:t>
          </w:r>
          <w:r w:rsidR="0082614A">
            <w:rPr>
              <w:rFonts w:asciiTheme="minorHAnsi" w:hAnsiTheme="minorHAnsi"/>
            </w:rPr>
            <w:t xml:space="preserve">April </w:t>
          </w:r>
          <w:r w:rsidR="00882911">
            <w:rPr>
              <w:rFonts w:asciiTheme="minorHAnsi" w:hAnsiTheme="minorHAnsi"/>
            </w:rPr>
            <w:t>2023</w:t>
          </w:r>
        </w:p>
      </w:tc>
    </w:tr>
    <w:tr w:rsidR="00B60FD3" w14:paraId="78D07FA0" w14:textId="77777777" w:rsidTr="00D06F62">
      <w:tc>
        <w:tcPr>
          <w:tcW w:w="5341" w:type="dxa"/>
        </w:tcPr>
        <w:p w14:paraId="533FDB79" w14:textId="376A2504" w:rsidR="00B60FD3" w:rsidRPr="00D06F62" w:rsidRDefault="00B60FD3" w:rsidP="0082614A">
          <w:pPr>
            <w:pStyle w:val="Footer"/>
            <w:rPr>
              <w:rFonts w:asciiTheme="minorHAnsi" w:hAnsiTheme="minorHAnsi"/>
            </w:rPr>
          </w:pPr>
          <w:r w:rsidRPr="00D06F62">
            <w:rPr>
              <w:rFonts w:asciiTheme="minorHAnsi" w:hAnsiTheme="minorHAnsi"/>
            </w:rPr>
            <w:t>Last Reviewed:</w:t>
          </w:r>
          <w:r>
            <w:rPr>
              <w:rFonts w:asciiTheme="minorHAnsi" w:hAnsiTheme="minorHAnsi"/>
            </w:rPr>
            <w:t xml:space="preserve"> </w:t>
          </w:r>
          <w:r w:rsidR="0083656D">
            <w:rPr>
              <w:rFonts w:asciiTheme="minorHAnsi" w:hAnsiTheme="minorHAnsi"/>
            </w:rPr>
            <w:t xml:space="preserve"> 17 </w:t>
          </w:r>
          <w:r w:rsidR="0082614A">
            <w:rPr>
              <w:rFonts w:asciiTheme="minorHAnsi" w:hAnsiTheme="minorHAnsi"/>
            </w:rPr>
            <w:t>March</w:t>
          </w:r>
          <w:r w:rsidR="00882911">
            <w:rPr>
              <w:rFonts w:asciiTheme="minorHAnsi" w:hAnsiTheme="minorHAnsi"/>
            </w:rPr>
            <w:t xml:space="preserve"> 2023</w:t>
          </w:r>
        </w:p>
      </w:tc>
      <w:tc>
        <w:tcPr>
          <w:tcW w:w="5341" w:type="dxa"/>
        </w:tcPr>
        <w:p w14:paraId="53D3A0E6" w14:textId="664535FC" w:rsidR="00B60FD3" w:rsidRPr="00D06F62" w:rsidRDefault="00B60FD3" w:rsidP="0083656D">
          <w:pPr>
            <w:pStyle w:val="Footer"/>
            <w:rPr>
              <w:rFonts w:asciiTheme="minorHAnsi" w:hAnsiTheme="minorHAnsi"/>
            </w:rPr>
          </w:pPr>
          <w:r w:rsidRPr="00D06F62">
            <w:rPr>
              <w:rFonts w:asciiTheme="minorHAnsi" w:hAnsiTheme="minorHAnsi"/>
            </w:rPr>
            <w:t>Due For Review:</w:t>
          </w:r>
          <w:r>
            <w:rPr>
              <w:rFonts w:asciiTheme="minorHAnsi" w:hAnsiTheme="minorHAnsi"/>
            </w:rPr>
            <w:t xml:space="preserve"> </w:t>
          </w:r>
          <w:r w:rsidR="0083656D">
            <w:rPr>
              <w:rFonts w:asciiTheme="minorHAnsi" w:hAnsiTheme="minorHAnsi"/>
            </w:rPr>
            <w:t xml:space="preserve"> April </w:t>
          </w:r>
          <w:r w:rsidR="00882911">
            <w:rPr>
              <w:rFonts w:asciiTheme="minorHAnsi" w:hAnsiTheme="minorHAnsi"/>
            </w:rPr>
            <w:t>2026</w:t>
          </w:r>
        </w:p>
      </w:tc>
    </w:tr>
  </w:tbl>
  <w:p w14:paraId="71BD28CA" w14:textId="77777777" w:rsidR="00B60FD3" w:rsidRPr="00EB2805" w:rsidRDefault="00B60FD3">
    <w:pPr>
      <w:pStyle w:val="Footer"/>
      <w:jc w:val="center"/>
      <w:rPr>
        <w:sz w:val="4"/>
        <w:szCs w:val="4"/>
      </w:rPr>
    </w:pPr>
  </w:p>
  <w:p w14:paraId="00D2BD68" w14:textId="07783283" w:rsidR="00B60FD3" w:rsidRDefault="001F3BC9">
    <w:pPr>
      <w:pStyle w:val="Footer"/>
      <w:jc w:val="center"/>
    </w:pPr>
    <w:sdt>
      <w:sdtPr>
        <w:id w:val="1557428014"/>
        <w:docPartObj>
          <w:docPartGallery w:val="Page Numbers (Bottom of Page)"/>
          <w:docPartUnique/>
        </w:docPartObj>
      </w:sdtPr>
      <w:sdtEndPr/>
      <w:sdtContent>
        <w:sdt>
          <w:sdtPr>
            <w:id w:val="1916044324"/>
            <w:docPartObj>
              <w:docPartGallery w:val="Page Numbers (Top of Page)"/>
              <w:docPartUnique/>
            </w:docPartObj>
          </w:sdtPr>
          <w:sdtEndPr/>
          <w:sdtContent>
            <w:r w:rsidR="00B60FD3">
              <w:t xml:space="preserve">Page </w:t>
            </w:r>
            <w:r w:rsidR="00B60FD3">
              <w:rPr>
                <w:b/>
                <w:sz w:val="24"/>
                <w:szCs w:val="24"/>
              </w:rPr>
              <w:fldChar w:fldCharType="begin"/>
            </w:r>
            <w:r w:rsidR="00B60FD3">
              <w:rPr>
                <w:b/>
              </w:rPr>
              <w:instrText xml:space="preserve"> PAGE </w:instrText>
            </w:r>
            <w:r w:rsidR="00B60FD3">
              <w:rPr>
                <w:b/>
                <w:sz w:val="24"/>
                <w:szCs w:val="24"/>
              </w:rPr>
              <w:fldChar w:fldCharType="separate"/>
            </w:r>
            <w:r w:rsidR="005B2B24">
              <w:rPr>
                <w:b/>
                <w:noProof/>
              </w:rPr>
              <w:t>3</w:t>
            </w:r>
            <w:r w:rsidR="00B60FD3">
              <w:rPr>
                <w:b/>
                <w:sz w:val="24"/>
                <w:szCs w:val="24"/>
              </w:rPr>
              <w:fldChar w:fldCharType="end"/>
            </w:r>
            <w:r w:rsidR="00B60FD3">
              <w:t xml:space="preserve"> of </w:t>
            </w:r>
            <w:r w:rsidR="00B60FD3">
              <w:rPr>
                <w:b/>
                <w:sz w:val="24"/>
                <w:szCs w:val="24"/>
              </w:rPr>
              <w:fldChar w:fldCharType="begin"/>
            </w:r>
            <w:r w:rsidR="00B60FD3">
              <w:rPr>
                <w:b/>
              </w:rPr>
              <w:instrText xml:space="preserve"> NUMPAGES  </w:instrText>
            </w:r>
            <w:r w:rsidR="00B60FD3">
              <w:rPr>
                <w:b/>
                <w:sz w:val="24"/>
                <w:szCs w:val="24"/>
              </w:rPr>
              <w:fldChar w:fldCharType="separate"/>
            </w:r>
            <w:r w:rsidR="005B2B24">
              <w:rPr>
                <w:b/>
                <w:noProof/>
              </w:rPr>
              <w:t>3</w:t>
            </w:r>
            <w:r w:rsidR="00B60FD3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2FB8E12D" w14:textId="77777777" w:rsidR="00B60FD3" w:rsidRDefault="00B60F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164FF" w14:textId="77777777" w:rsidR="00882911" w:rsidRDefault="00882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65ADB" w14:textId="77777777" w:rsidR="001F3BC9" w:rsidRDefault="001F3BC9" w:rsidP="000224DC">
      <w:pPr>
        <w:spacing w:before="0" w:after="0"/>
      </w:pPr>
      <w:r>
        <w:separator/>
      </w:r>
    </w:p>
  </w:footnote>
  <w:footnote w:type="continuationSeparator" w:id="0">
    <w:p w14:paraId="0D66D428" w14:textId="77777777" w:rsidR="001F3BC9" w:rsidRDefault="001F3BC9" w:rsidP="000224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2BBA" w14:textId="77777777" w:rsidR="00882911" w:rsidRDefault="00882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456"/>
    </w:tblGrid>
    <w:tr w:rsidR="00B60FD3" w:rsidRPr="00E857F0" w14:paraId="70EE1805" w14:textId="77777777" w:rsidTr="000D4CB2">
      <w:tc>
        <w:tcPr>
          <w:tcW w:w="10682" w:type="dxa"/>
        </w:tcPr>
        <w:p w14:paraId="566161B4" w14:textId="77777777" w:rsidR="00B60FD3" w:rsidRPr="00E857F0" w:rsidRDefault="00B60FD3" w:rsidP="00106CCE">
          <w:pPr>
            <w:pStyle w:val="Header"/>
            <w:jc w:val="center"/>
            <w:rPr>
              <w:b/>
              <w:caps/>
              <w:color w:val="595959" w:themeColor="text1" w:themeTint="A6"/>
              <w:sz w:val="30"/>
              <w:szCs w:val="30"/>
            </w:rPr>
          </w:pPr>
          <w:r w:rsidRPr="00E857F0">
            <w:rPr>
              <w:rFonts w:asciiTheme="minorHAnsi" w:hAnsiTheme="minorHAnsi"/>
              <w:b/>
              <w:caps/>
              <w:color w:val="595959" w:themeColor="text1" w:themeTint="A6"/>
              <w:sz w:val="30"/>
              <w:szCs w:val="30"/>
            </w:rPr>
            <w:t>Pharmacy Premises Committee OF THE NORTHERN TERRITORY</w:t>
          </w:r>
        </w:p>
      </w:tc>
    </w:tr>
    <w:tr w:rsidR="00B60FD3" w:rsidRPr="00E857F0" w14:paraId="525ADEFA" w14:textId="77777777" w:rsidTr="000D4CB2">
      <w:tc>
        <w:tcPr>
          <w:tcW w:w="10682" w:type="dxa"/>
        </w:tcPr>
        <w:p w14:paraId="791C6BA7" w14:textId="186C583D" w:rsidR="00B60FD3" w:rsidRPr="00E857F0" w:rsidRDefault="00225EFF" w:rsidP="00AB3B15">
          <w:pPr>
            <w:pStyle w:val="Header"/>
            <w:jc w:val="center"/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</w:pPr>
          <w:r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>PS</w:t>
          </w:r>
          <w:r w:rsidR="00C05276"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>1</w:t>
          </w:r>
          <w:r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 xml:space="preserve"> </w:t>
          </w:r>
          <w:r w:rsidR="00B60FD3"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>Pharmacy Ownership</w:t>
          </w:r>
          <w:r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 xml:space="preserve"> </w:t>
          </w:r>
          <w:r w:rsidR="00AB3B15"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>Standard</w:t>
          </w:r>
          <w:r w:rsidR="0055308E">
            <w:rPr>
              <w:rFonts w:asciiTheme="minorHAnsi" w:hAnsiTheme="minorHAnsi"/>
              <w:b/>
              <w:color w:val="595959" w:themeColor="text1" w:themeTint="A6"/>
              <w:sz w:val="30"/>
              <w:szCs w:val="30"/>
            </w:rPr>
            <w:t>– Pharmacy Businesses</w:t>
          </w:r>
        </w:p>
      </w:tc>
    </w:tr>
  </w:tbl>
  <w:p w14:paraId="0328F9A9" w14:textId="7C903721" w:rsidR="00B60FD3" w:rsidRDefault="00B60F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357C" w14:textId="77777777" w:rsidR="00882911" w:rsidRDefault="00882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989"/>
    <w:multiLevelType w:val="hybridMultilevel"/>
    <w:tmpl w:val="54884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3595"/>
    <w:multiLevelType w:val="hybridMultilevel"/>
    <w:tmpl w:val="AAF86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2992"/>
    <w:multiLevelType w:val="hybridMultilevel"/>
    <w:tmpl w:val="1814F8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E3ABF"/>
    <w:multiLevelType w:val="hybridMultilevel"/>
    <w:tmpl w:val="FF308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7934"/>
    <w:multiLevelType w:val="hybridMultilevel"/>
    <w:tmpl w:val="03FAE5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D58F3"/>
    <w:multiLevelType w:val="hybridMultilevel"/>
    <w:tmpl w:val="7C92554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F4A0A"/>
    <w:multiLevelType w:val="hybridMultilevel"/>
    <w:tmpl w:val="E1B8EAFA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8E1F6D"/>
    <w:multiLevelType w:val="hybridMultilevel"/>
    <w:tmpl w:val="942E3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3025D"/>
    <w:multiLevelType w:val="hybridMultilevel"/>
    <w:tmpl w:val="6EE4AF84"/>
    <w:lvl w:ilvl="0" w:tplc="1FB6E154">
      <w:start w:val="1"/>
      <w:numFmt w:val="lowerLetter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99"/>
        <w:sz w:val="22"/>
        <w:szCs w:val="22"/>
        <w:lang w:val="en-AU" w:eastAsia="en-AU" w:bidi="en-AU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F37C0D"/>
    <w:multiLevelType w:val="hybridMultilevel"/>
    <w:tmpl w:val="60C6FDCE"/>
    <w:lvl w:ilvl="0" w:tplc="F3B06D6C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19C4F24"/>
    <w:multiLevelType w:val="hybridMultilevel"/>
    <w:tmpl w:val="95FA1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67A3"/>
    <w:multiLevelType w:val="hybridMultilevel"/>
    <w:tmpl w:val="3F168096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D35285"/>
    <w:multiLevelType w:val="hybridMultilevel"/>
    <w:tmpl w:val="1B085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171D7"/>
    <w:multiLevelType w:val="hybridMultilevel"/>
    <w:tmpl w:val="4574F39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D1C76"/>
    <w:multiLevelType w:val="hybridMultilevel"/>
    <w:tmpl w:val="36BA0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E613E"/>
    <w:multiLevelType w:val="hybridMultilevel"/>
    <w:tmpl w:val="95706E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74896"/>
    <w:multiLevelType w:val="hybridMultilevel"/>
    <w:tmpl w:val="DFA2C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100C1"/>
    <w:multiLevelType w:val="hybridMultilevel"/>
    <w:tmpl w:val="51DA9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F793B"/>
    <w:multiLevelType w:val="hybridMultilevel"/>
    <w:tmpl w:val="33861CDE"/>
    <w:lvl w:ilvl="0" w:tplc="B15C8C70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1FB6E154">
      <w:start w:val="1"/>
      <w:numFmt w:val="lowerLetter"/>
      <w:lvlText w:val="(%2)"/>
      <w:lvlJc w:val="left"/>
      <w:pPr>
        <w:ind w:left="1660" w:hanging="720"/>
      </w:pPr>
      <w:rPr>
        <w:rFonts w:ascii="Arial" w:eastAsia="Arial" w:hAnsi="Arial" w:cs="Arial" w:hint="default"/>
        <w:spacing w:val="-2"/>
        <w:w w:val="99"/>
        <w:sz w:val="22"/>
        <w:szCs w:val="22"/>
        <w:lang w:val="en-AU" w:eastAsia="en-AU" w:bidi="en-AU"/>
      </w:rPr>
    </w:lvl>
    <w:lvl w:ilvl="2" w:tplc="FBE66A4E">
      <w:start w:val="1"/>
      <w:numFmt w:val="lowerRoman"/>
      <w:lvlText w:val="(%3)"/>
      <w:lvlJc w:val="left"/>
      <w:pPr>
        <w:ind w:left="3100" w:hanging="720"/>
      </w:pPr>
      <w:rPr>
        <w:rFonts w:ascii="Arial" w:eastAsia="Arial" w:hAnsi="Arial" w:cs="Arial" w:hint="default"/>
        <w:spacing w:val="-1"/>
        <w:w w:val="99"/>
        <w:sz w:val="22"/>
        <w:szCs w:val="22"/>
        <w:lang w:val="en-AU" w:eastAsia="en-AU" w:bidi="en-AU"/>
      </w:rPr>
    </w:lvl>
    <w:lvl w:ilvl="3" w:tplc="9D8EF1DC">
      <w:numFmt w:val="bullet"/>
      <w:lvlText w:val="•"/>
      <w:lvlJc w:val="left"/>
      <w:pPr>
        <w:ind w:left="3878" w:hanging="720"/>
      </w:pPr>
      <w:rPr>
        <w:rFonts w:hint="default"/>
        <w:lang w:val="en-AU" w:eastAsia="en-AU" w:bidi="en-AU"/>
      </w:rPr>
    </w:lvl>
    <w:lvl w:ilvl="4" w:tplc="3A5AF82C">
      <w:numFmt w:val="bullet"/>
      <w:lvlText w:val="•"/>
      <w:lvlJc w:val="left"/>
      <w:pPr>
        <w:ind w:left="4657" w:hanging="720"/>
      </w:pPr>
      <w:rPr>
        <w:rFonts w:hint="default"/>
        <w:lang w:val="en-AU" w:eastAsia="en-AU" w:bidi="en-AU"/>
      </w:rPr>
    </w:lvl>
    <w:lvl w:ilvl="5" w:tplc="543AA3EE">
      <w:numFmt w:val="bullet"/>
      <w:lvlText w:val="•"/>
      <w:lvlJc w:val="left"/>
      <w:pPr>
        <w:ind w:left="5436" w:hanging="720"/>
      </w:pPr>
      <w:rPr>
        <w:rFonts w:hint="default"/>
        <w:lang w:val="en-AU" w:eastAsia="en-AU" w:bidi="en-AU"/>
      </w:rPr>
    </w:lvl>
    <w:lvl w:ilvl="6" w:tplc="9488A40C">
      <w:numFmt w:val="bullet"/>
      <w:lvlText w:val="•"/>
      <w:lvlJc w:val="left"/>
      <w:pPr>
        <w:ind w:left="6215" w:hanging="720"/>
      </w:pPr>
      <w:rPr>
        <w:rFonts w:hint="default"/>
        <w:lang w:val="en-AU" w:eastAsia="en-AU" w:bidi="en-AU"/>
      </w:rPr>
    </w:lvl>
    <w:lvl w:ilvl="7" w:tplc="E9B09144">
      <w:numFmt w:val="bullet"/>
      <w:lvlText w:val="•"/>
      <w:lvlJc w:val="left"/>
      <w:pPr>
        <w:ind w:left="6994" w:hanging="720"/>
      </w:pPr>
      <w:rPr>
        <w:rFonts w:hint="default"/>
        <w:lang w:val="en-AU" w:eastAsia="en-AU" w:bidi="en-AU"/>
      </w:rPr>
    </w:lvl>
    <w:lvl w:ilvl="8" w:tplc="88688E64">
      <w:numFmt w:val="bullet"/>
      <w:lvlText w:val="•"/>
      <w:lvlJc w:val="left"/>
      <w:pPr>
        <w:ind w:left="7773" w:hanging="720"/>
      </w:pPr>
      <w:rPr>
        <w:rFonts w:hint="default"/>
        <w:lang w:val="en-AU" w:eastAsia="en-AU" w:bidi="en-AU"/>
      </w:rPr>
    </w:lvl>
  </w:abstractNum>
  <w:abstractNum w:abstractNumId="19" w15:restartNumberingAfterBreak="0">
    <w:nsid w:val="72393F9D"/>
    <w:multiLevelType w:val="hybridMultilevel"/>
    <w:tmpl w:val="4D88D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734F6"/>
    <w:multiLevelType w:val="hybridMultilevel"/>
    <w:tmpl w:val="D032BE56"/>
    <w:lvl w:ilvl="0" w:tplc="5B4E2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75ABD"/>
    <w:multiLevelType w:val="hybridMultilevel"/>
    <w:tmpl w:val="AC3C23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9D2788"/>
    <w:multiLevelType w:val="hybridMultilevel"/>
    <w:tmpl w:val="6A8E3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251A6"/>
    <w:multiLevelType w:val="hybridMultilevel"/>
    <w:tmpl w:val="16C62628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"/>
  </w:num>
  <w:num w:numId="4">
    <w:abstractNumId w:val="0"/>
  </w:num>
  <w:num w:numId="5">
    <w:abstractNumId w:val="23"/>
  </w:num>
  <w:num w:numId="6">
    <w:abstractNumId w:val="6"/>
  </w:num>
  <w:num w:numId="7">
    <w:abstractNumId w:val="12"/>
  </w:num>
  <w:num w:numId="8">
    <w:abstractNumId w:val="7"/>
  </w:num>
  <w:num w:numId="9">
    <w:abstractNumId w:val="14"/>
  </w:num>
  <w:num w:numId="10">
    <w:abstractNumId w:val="15"/>
  </w:num>
  <w:num w:numId="11">
    <w:abstractNumId w:val="8"/>
  </w:num>
  <w:num w:numId="12">
    <w:abstractNumId w:val="2"/>
  </w:num>
  <w:num w:numId="13">
    <w:abstractNumId w:val="11"/>
  </w:num>
  <w:num w:numId="14">
    <w:abstractNumId w:val="19"/>
  </w:num>
  <w:num w:numId="15">
    <w:abstractNumId w:val="1"/>
  </w:num>
  <w:num w:numId="16">
    <w:abstractNumId w:val="10"/>
  </w:num>
  <w:num w:numId="17">
    <w:abstractNumId w:val="13"/>
  </w:num>
  <w:num w:numId="18">
    <w:abstractNumId w:val="9"/>
  </w:num>
  <w:num w:numId="19">
    <w:abstractNumId w:val="17"/>
  </w:num>
  <w:num w:numId="20">
    <w:abstractNumId w:val="4"/>
  </w:num>
  <w:num w:numId="21">
    <w:abstractNumId w:val="18"/>
  </w:num>
  <w:num w:numId="22">
    <w:abstractNumId w:val="20"/>
  </w:num>
  <w:num w:numId="23">
    <w:abstractNumId w:val="1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E1"/>
    <w:rsid w:val="0001194C"/>
    <w:rsid w:val="000224DC"/>
    <w:rsid w:val="00052388"/>
    <w:rsid w:val="000660A3"/>
    <w:rsid w:val="00074638"/>
    <w:rsid w:val="00096A82"/>
    <w:rsid w:val="000B037E"/>
    <w:rsid w:val="000B7884"/>
    <w:rsid w:val="000B7B21"/>
    <w:rsid w:val="000D047F"/>
    <w:rsid w:val="000D4CB2"/>
    <w:rsid w:val="000E4BC8"/>
    <w:rsid w:val="000E5A9A"/>
    <w:rsid w:val="001023DC"/>
    <w:rsid w:val="00106CCE"/>
    <w:rsid w:val="001328C1"/>
    <w:rsid w:val="00137729"/>
    <w:rsid w:val="00140AF1"/>
    <w:rsid w:val="0014218B"/>
    <w:rsid w:val="00162CB0"/>
    <w:rsid w:val="001756D7"/>
    <w:rsid w:val="001771A6"/>
    <w:rsid w:val="00197BB1"/>
    <w:rsid w:val="001B3E16"/>
    <w:rsid w:val="001B7204"/>
    <w:rsid w:val="001D3705"/>
    <w:rsid w:val="001D53E4"/>
    <w:rsid w:val="001E1360"/>
    <w:rsid w:val="001E2EAA"/>
    <w:rsid w:val="001E53E6"/>
    <w:rsid w:val="001F3BC9"/>
    <w:rsid w:val="00215D82"/>
    <w:rsid w:val="00222583"/>
    <w:rsid w:val="00225EFF"/>
    <w:rsid w:val="00292BF9"/>
    <w:rsid w:val="002A47DC"/>
    <w:rsid w:val="002D696C"/>
    <w:rsid w:val="002F0C82"/>
    <w:rsid w:val="002F374D"/>
    <w:rsid w:val="002F59A5"/>
    <w:rsid w:val="00344312"/>
    <w:rsid w:val="00356F18"/>
    <w:rsid w:val="003804A5"/>
    <w:rsid w:val="00394087"/>
    <w:rsid w:val="003A4D7D"/>
    <w:rsid w:val="003C1739"/>
    <w:rsid w:val="003C22B5"/>
    <w:rsid w:val="003C30ED"/>
    <w:rsid w:val="003D486A"/>
    <w:rsid w:val="003D5EBE"/>
    <w:rsid w:val="003E3A49"/>
    <w:rsid w:val="003E6121"/>
    <w:rsid w:val="003F0A93"/>
    <w:rsid w:val="003F231F"/>
    <w:rsid w:val="00416FDE"/>
    <w:rsid w:val="00420035"/>
    <w:rsid w:val="00425C4B"/>
    <w:rsid w:val="00440095"/>
    <w:rsid w:val="00442E40"/>
    <w:rsid w:val="00453454"/>
    <w:rsid w:val="00453C74"/>
    <w:rsid w:val="00457EB1"/>
    <w:rsid w:val="00461FDB"/>
    <w:rsid w:val="0047487C"/>
    <w:rsid w:val="00475A13"/>
    <w:rsid w:val="004A6096"/>
    <w:rsid w:val="004B0092"/>
    <w:rsid w:val="004B17A1"/>
    <w:rsid w:val="004C2B7D"/>
    <w:rsid w:val="004C33D1"/>
    <w:rsid w:val="004C3EB6"/>
    <w:rsid w:val="004D45D1"/>
    <w:rsid w:val="004D6199"/>
    <w:rsid w:val="004D699B"/>
    <w:rsid w:val="004E62A2"/>
    <w:rsid w:val="004F56DF"/>
    <w:rsid w:val="004F5CA5"/>
    <w:rsid w:val="005038E1"/>
    <w:rsid w:val="00526C9B"/>
    <w:rsid w:val="00526D80"/>
    <w:rsid w:val="00532EAA"/>
    <w:rsid w:val="005369E3"/>
    <w:rsid w:val="00550861"/>
    <w:rsid w:val="005517A4"/>
    <w:rsid w:val="0055308E"/>
    <w:rsid w:val="00557B2E"/>
    <w:rsid w:val="00596A9A"/>
    <w:rsid w:val="005B2B24"/>
    <w:rsid w:val="005B75E0"/>
    <w:rsid w:val="005C734A"/>
    <w:rsid w:val="005E3798"/>
    <w:rsid w:val="005E56EB"/>
    <w:rsid w:val="005F6443"/>
    <w:rsid w:val="006333D0"/>
    <w:rsid w:val="00645019"/>
    <w:rsid w:val="00663BD0"/>
    <w:rsid w:val="00682027"/>
    <w:rsid w:val="006A4977"/>
    <w:rsid w:val="006B155F"/>
    <w:rsid w:val="006D530B"/>
    <w:rsid w:val="00703A62"/>
    <w:rsid w:val="00707E43"/>
    <w:rsid w:val="007218A5"/>
    <w:rsid w:val="0074120E"/>
    <w:rsid w:val="00756622"/>
    <w:rsid w:val="00773AA8"/>
    <w:rsid w:val="00793FE1"/>
    <w:rsid w:val="007955DA"/>
    <w:rsid w:val="007A43F0"/>
    <w:rsid w:val="007C52C1"/>
    <w:rsid w:val="007D2E71"/>
    <w:rsid w:val="007D41AB"/>
    <w:rsid w:val="007D7EF5"/>
    <w:rsid w:val="007F18BF"/>
    <w:rsid w:val="0081379E"/>
    <w:rsid w:val="0082114A"/>
    <w:rsid w:val="00821DAF"/>
    <w:rsid w:val="00823376"/>
    <w:rsid w:val="0082614A"/>
    <w:rsid w:val="008262E8"/>
    <w:rsid w:val="008273E2"/>
    <w:rsid w:val="0083656D"/>
    <w:rsid w:val="008445D8"/>
    <w:rsid w:val="00853475"/>
    <w:rsid w:val="0085692E"/>
    <w:rsid w:val="0086500B"/>
    <w:rsid w:val="00870336"/>
    <w:rsid w:val="00882911"/>
    <w:rsid w:val="00883E8B"/>
    <w:rsid w:val="008D3519"/>
    <w:rsid w:val="008F175F"/>
    <w:rsid w:val="0090753C"/>
    <w:rsid w:val="00914411"/>
    <w:rsid w:val="00930DE3"/>
    <w:rsid w:val="0096155D"/>
    <w:rsid w:val="009A5AF9"/>
    <w:rsid w:val="009D12C9"/>
    <w:rsid w:val="009D56D5"/>
    <w:rsid w:val="009D5DE8"/>
    <w:rsid w:val="009F3DAA"/>
    <w:rsid w:val="009F4679"/>
    <w:rsid w:val="00A04E2B"/>
    <w:rsid w:val="00A51ACD"/>
    <w:rsid w:val="00A536C0"/>
    <w:rsid w:val="00A573B7"/>
    <w:rsid w:val="00A7740E"/>
    <w:rsid w:val="00A92294"/>
    <w:rsid w:val="00AB398E"/>
    <w:rsid w:val="00AB3B15"/>
    <w:rsid w:val="00AB5146"/>
    <w:rsid w:val="00AE7AF4"/>
    <w:rsid w:val="00B00ED6"/>
    <w:rsid w:val="00B050F9"/>
    <w:rsid w:val="00B13812"/>
    <w:rsid w:val="00B3460B"/>
    <w:rsid w:val="00B42EB7"/>
    <w:rsid w:val="00B60FD3"/>
    <w:rsid w:val="00B73A70"/>
    <w:rsid w:val="00B8153D"/>
    <w:rsid w:val="00B908C8"/>
    <w:rsid w:val="00BA3462"/>
    <w:rsid w:val="00BB27DD"/>
    <w:rsid w:val="00BB3F26"/>
    <w:rsid w:val="00BB6B29"/>
    <w:rsid w:val="00BC1D26"/>
    <w:rsid w:val="00BD2416"/>
    <w:rsid w:val="00BE163B"/>
    <w:rsid w:val="00C05276"/>
    <w:rsid w:val="00C15F4A"/>
    <w:rsid w:val="00C20448"/>
    <w:rsid w:val="00C24215"/>
    <w:rsid w:val="00C273D7"/>
    <w:rsid w:val="00C335A5"/>
    <w:rsid w:val="00C400CF"/>
    <w:rsid w:val="00C42341"/>
    <w:rsid w:val="00C50C69"/>
    <w:rsid w:val="00C56BE5"/>
    <w:rsid w:val="00C97B02"/>
    <w:rsid w:val="00CA0721"/>
    <w:rsid w:val="00CA113C"/>
    <w:rsid w:val="00CB1E33"/>
    <w:rsid w:val="00CF02DA"/>
    <w:rsid w:val="00D06F62"/>
    <w:rsid w:val="00D10B1E"/>
    <w:rsid w:val="00D32472"/>
    <w:rsid w:val="00D3627E"/>
    <w:rsid w:val="00D47556"/>
    <w:rsid w:val="00D52EF7"/>
    <w:rsid w:val="00D730AF"/>
    <w:rsid w:val="00D7785D"/>
    <w:rsid w:val="00D835AA"/>
    <w:rsid w:val="00D837D4"/>
    <w:rsid w:val="00D91360"/>
    <w:rsid w:val="00DB2269"/>
    <w:rsid w:val="00E01674"/>
    <w:rsid w:val="00E27183"/>
    <w:rsid w:val="00E279F4"/>
    <w:rsid w:val="00E41C0A"/>
    <w:rsid w:val="00E52051"/>
    <w:rsid w:val="00E547DC"/>
    <w:rsid w:val="00E60CCA"/>
    <w:rsid w:val="00E769D8"/>
    <w:rsid w:val="00E820A2"/>
    <w:rsid w:val="00E857F0"/>
    <w:rsid w:val="00E93A8C"/>
    <w:rsid w:val="00EA2F43"/>
    <w:rsid w:val="00EA2F7B"/>
    <w:rsid w:val="00EB2805"/>
    <w:rsid w:val="00EC72D7"/>
    <w:rsid w:val="00EE4870"/>
    <w:rsid w:val="00EF3B50"/>
    <w:rsid w:val="00EF6119"/>
    <w:rsid w:val="00F02AE5"/>
    <w:rsid w:val="00F10DDC"/>
    <w:rsid w:val="00F14BA6"/>
    <w:rsid w:val="00F32F77"/>
    <w:rsid w:val="00F42231"/>
    <w:rsid w:val="00F52661"/>
    <w:rsid w:val="00F53204"/>
    <w:rsid w:val="00F848B2"/>
    <w:rsid w:val="00F9083F"/>
    <w:rsid w:val="00F9516C"/>
    <w:rsid w:val="00F97919"/>
    <w:rsid w:val="00FA30F1"/>
    <w:rsid w:val="00FA582C"/>
    <w:rsid w:val="00FD5C85"/>
    <w:rsid w:val="00FD6C49"/>
    <w:rsid w:val="00FD6D6F"/>
    <w:rsid w:val="00FE35B6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4C29A"/>
  <w15:docId w15:val="{D6ADF5BC-7D3D-49B2-99BA-588399CE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8E1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38E1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038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38E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24D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4D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24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C1D2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C1D26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C1D2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C1D26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7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DC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2A47DC"/>
  </w:style>
  <w:style w:type="paragraph" w:styleId="BodyText">
    <w:name w:val="Body Text"/>
    <w:basedOn w:val="Normal"/>
    <w:link w:val="BodyTextChar"/>
    <w:uiPriority w:val="1"/>
    <w:qFormat/>
    <w:rsid w:val="005C734A"/>
    <w:pPr>
      <w:widowControl w:val="0"/>
      <w:autoSpaceDE w:val="0"/>
      <w:autoSpaceDN w:val="0"/>
      <w:spacing w:before="0" w:after="0"/>
    </w:pPr>
    <w:rPr>
      <w:rFonts w:eastAsia="Arial" w:cs="Arial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5C734A"/>
    <w:rPr>
      <w:rFonts w:ascii="Arial" w:eastAsia="Arial" w:hAnsi="Arial" w:cs="Arial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129D-E403-4116-B34A-F5CFCC77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Northern Territory Government</dc:creator>
  <cp:lastModifiedBy>Peter Kern</cp:lastModifiedBy>
  <cp:revision>3</cp:revision>
  <cp:lastPrinted>2018-09-20T05:20:00Z</cp:lastPrinted>
  <dcterms:created xsi:type="dcterms:W3CDTF">2023-03-19T23:35:00Z</dcterms:created>
  <dcterms:modified xsi:type="dcterms:W3CDTF">2023-03-19T23:36:00Z</dcterms:modified>
</cp:coreProperties>
</file>