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7552BD" w14:textId="7CF6AA2E" w:rsidR="00982E8D" w:rsidRDefault="00982E8D" w:rsidP="00982E8D">
      <w:pPr>
        <w:tabs>
          <w:tab w:val="left" w:pos="660"/>
        </w:tabs>
        <w:jc w:val="right"/>
      </w:pPr>
      <w:r>
        <w:t xml:space="preserve">Approval Date: </w:t>
      </w:r>
      <w:r w:rsidR="00DA19F5">
        <w:t>17/07/2023</w:t>
      </w:r>
      <w:bookmarkStart w:id="0" w:name="_GoBack"/>
      <w:bookmarkEnd w:id="0"/>
    </w:p>
    <w:p w14:paraId="5341F99B" w14:textId="44D23F4D" w:rsidR="00D73183" w:rsidRDefault="00D73183" w:rsidP="00D73183">
      <w:pPr>
        <w:pStyle w:val="Title"/>
        <w:spacing w:after="0"/>
      </w:pPr>
      <w:bookmarkStart w:id="1" w:name="OLE_LINK1"/>
      <w:bookmarkStart w:id="2" w:name="OLE_LINK2"/>
      <w:r w:rsidRPr="00AC2493">
        <w:t xml:space="preserve">Approved </w:t>
      </w:r>
      <w:r w:rsidR="00D54FA4">
        <w:t>P</w:t>
      </w:r>
      <w:r w:rsidRPr="00AC2493">
        <w:t xml:space="preserve">rocedure </w:t>
      </w:r>
      <w:r>
        <w:t>31</w:t>
      </w:r>
    </w:p>
    <w:p w14:paraId="3FFA4CDC" w14:textId="1CC1BE30" w:rsidR="00D73183" w:rsidRPr="00D73183" w:rsidRDefault="00D73183" w:rsidP="00D73183">
      <w:pPr>
        <w:pStyle w:val="Subtitle0"/>
      </w:pPr>
      <w:r>
        <w:t xml:space="preserve">Personal Search and Seizure </w:t>
      </w:r>
    </w:p>
    <w:p w14:paraId="00D899C8" w14:textId="0BFF90B7" w:rsidR="00A43AF0" w:rsidRDefault="00A43AF0" w:rsidP="00A43AF0">
      <w:pPr>
        <w:pStyle w:val="BodyHeading"/>
        <w:rPr>
          <w:lang w:eastAsia="en-AU"/>
        </w:rPr>
      </w:pPr>
      <w:bookmarkStart w:id="3" w:name="_Toc41902201"/>
      <w:r>
        <w:rPr>
          <w:lang w:eastAsia="en-AU"/>
        </w:rPr>
        <w:t>Purpose</w:t>
      </w:r>
    </w:p>
    <w:p w14:paraId="7A943912" w14:textId="77777777" w:rsidR="00D73183" w:rsidRDefault="00D73183" w:rsidP="00D73183">
      <w:r>
        <w:t>To</w:t>
      </w:r>
      <w:r w:rsidRPr="002B07AE">
        <w:t xml:space="preserve"> </w:t>
      </w:r>
      <w:r>
        <w:t xml:space="preserve">guide practitioners on the process of searching people who are receiving care and treatment under the provisions of the </w:t>
      </w:r>
      <w:r w:rsidRPr="00E5587D">
        <w:rPr>
          <w:i/>
        </w:rPr>
        <w:t>Mental Health and Related Services  Act 1998</w:t>
      </w:r>
      <w:r>
        <w:rPr>
          <w:i/>
        </w:rPr>
        <w:t xml:space="preserve"> </w:t>
      </w:r>
      <w:r w:rsidRPr="00C46D4D">
        <w:t>(the Act)</w:t>
      </w:r>
      <w:r w:rsidRPr="00E5587D">
        <w:rPr>
          <w:i/>
        </w:rPr>
        <w:t xml:space="preserve"> </w:t>
      </w:r>
      <w:r w:rsidRPr="000F72BA">
        <w:t>and</w:t>
      </w:r>
      <w:r>
        <w:t xml:space="preserve"> the seizure of items, where appropriate</w:t>
      </w:r>
      <w:r w:rsidRPr="006F5FD0">
        <w:t>.</w:t>
      </w:r>
    </w:p>
    <w:p w14:paraId="7AB3E9B6" w14:textId="77777777" w:rsidR="00A43AF0" w:rsidRDefault="00D73183" w:rsidP="00A43AF0">
      <w:pPr>
        <w:rPr>
          <w:i/>
        </w:rPr>
      </w:pPr>
      <w:r>
        <w:t>For the purpose of this document, a patient is defined as a person receiving care and treatment under the Act.</w:t>
      </w:r>
      <w:bookmarkStart w:id="4" w:name="_Toc41902199"/>
      <w:r w:rsidR="00A43AF0" w:rsidRPr="00A43AF0">
        <w:rPr>
          <w:i/>
        </w:rPr>
        <w:t xml:space="preserve"> </w:t>
      </w:r>
    </w:p>
    <w:p w14:paraId="2E693BE2" w14:textId="6846AEFC" w:rsidR="00A43AF0" w:rsidRDefault="00A43AF0" w:rsidP="00A43AF0">
      <w:pPr>
        <w:rPr>
          <w:i/>
        </w:rPr>
      </w:pPr>
      <w:r w:rsidRPr="004D2C30">
        <w:rPr>
          <w:i/>
        </w:rPr>
        <w:t>*</w:t>
      </w:r>
      <w:r>
        <w:rPr>
          <w:i/>
        </w:rPr>
        <w:t>Content of this document has been adapted from “Personal Search and Seizure Procedure- Broome Mental Health Inpatient Unit, WACHS Kimberley”, Government of Western Australia</w:t>
      </w:r>
      <w:r w:rsidRPr="0037087A">
        <w:rPr>
          <w:i/>
        </w:rPr>
        <w:t xml:space="preserve">, </w:t>
      </w:r>
      <w:r>
        <w:rPr>
          <w:i/>
        </w:rPr>
        <w:t>(</w:t>
      </w:r>
      <w:r w:rsidRPr="0037087A">
        <w:rPr>
          <w:i/>
        </w:rPr>
        <w:t>201</w:t>
      </w:r>
      <w:r>
        <w:rPr>
          <w:i/>
        </w:rPr>
        <w:t xml:space="preserve">7). Available from: </w:t>
      </w:r>
      <w:hyperlink r:id="rId13" w:history="1">
        <w:r w:rsidRPr="00E23A2E">
          <w:rPr>
            <w:rStyle w:val="Hyperlink"/>
            <w:i/>
          </w:rPr>
          <w:t>https://www.wacountry.health.wa.gov.au/~/media/WACHS/Documents/About-us/Policies/Search-and-Seizure-Procedure---Broome-Mental-Health-Inpatient-Unit.pdf?thn=0</w:t>
        </w:r>
      </w:hyperlink>
    </w:p>
    <w:bookmarkEnd w:id="4" w:displacedByCustomXml="next"/>
    <w:sdt>
      <w:sdtPr>
        <w:rPr>
          <w:rFonts w:ascii="Lato" w:eastAsia="Calibri" w:hAnsi="Lato" w:cs="Times New Roman"/>
          <w:bCs w:val="0"/>
          <w:color w:val="auto"/>
          <w:sz w:val="22"/>
          <w:szCs w:val="22"/>
        </w:rPr>
        <w:id w:val="-1232920065"/>
        <w:docPartObj>
          <w:docPartGallery w:val="Table of Contents"/>
          <w:docPartUnique/>
        </w:docPartObj>
      </w:sdtPr>
      <w:sdtEndPr>
        <w:rPr>
          <w:b/>
          <w:noProof/>
        </w:rPr>
      </w:sdtEndPr>
      <w:sdtContent>
        <w:p w14:paraId="5D760A36" w14:textId="4ADB5469" w:rsidR="00A43AF0" w:rsidRDefault="00A43AF0">
          <w:pPr>
            <w:pStyle w:val="TOCHeading"/>
          </w:pPr>
          <w:r>
            <w:t>Contents</w:t>
          </w:r>
        </w:p>
        <w:p w14:paraId="36C22EB6" w14:textId="2DCA820F" w:rsidR="00284FCE" w:rsidRDefault="00A43AF0">
          <w:pPr>
            <w:pStyle w:val="TOC1"/>
            <w:rPr>
              <w:rFonts w:asciiTheme="minorHAnsi" w:eastAsiaTheme="minorEastAsia" w:hAnsiTheme="minorHAnsi" w:cstheme="minorBidi"/>
              <w:b w:val="0"/>
              <w:noProof/>
              <w:lang w:eastAsia="en-AU"/>
            </w:rPr>
          </w:pPr>
          <w:r>
            <w:fldChar w:fldCharType="begin"/>
          </w:r>
          <w:r>
            <w:instrText xml:space="preserve"> TOC \o "1-3" \h \z \u </w:instrText>
          </w:r>
          <w:r>
            <w:fldChar w:fldCharType="separate"/>
          </w:r>
          <w:hyperlink w:anchor="_Toc133239112" w:history="1">
            <w:r w:rsidR="00284FCE" w:rsidRPr="005E2027">
              <w:rPr>
                <w:rStyle w:val="Hyperlink"/>
                <w:noProof/>
              </w:rPr>
              <w:t>Introduction</w:t>
            </w:r>
            <w:r w:rsidR="00284FCE">
              <w:rPr>
                <w:noProof/>
                <w:webHidden/>
              </w:rPr>
              <w:tab/>
            </w:r>
            <w:r w:rsidR="00284FCE">
              <w:rPr>
                <w:noProof/>
                <w:webHidden/>
              </w:rPr>
              <w:fldChar w:fldCharType="begin"/>
            </w:r>
            <w:r w:rsidR="00284FCE">
              <w:rPr>
                <w:noProof/>
                <w:webHidden/>
              </w:rPr>
              <w:instrText xml:space="preserve"> PAGEREF _Toc133239112 \h </w:instrText>
            </w:r>
            <w:r w:rsidR="00284FCE">
              <w:rPr>
                <w:noProof/>
                <w:webHidden/>
              </w:rPr>
            </w:r>
            <w:r w:rsidR="00284FCE">
              <w:rPr>
                <w:noProof/>
                <w:webHidden/>
              </w:rPr>
              <w:fldChar w:fldCharType="separate"/>
            </w:r>
            <w:r w:rsidR="00284FCE">
              <w:rPr>
                <w:noProof/>
                <w:webHidden/>
              </w:rPr>
              <w:t>1</w:t>
            </w:r>
            <w:r w:rsidR="00284FCE">
              <w:rPr>
                <w:noProof/>
                <w:webHidden/>
              </w:rPr>
              <w:fldChar w:fldCharType="end"/>
            </w:r>
          </w:hyperlink>
        </w:p>
        <w:p w14:paraId="5286DE0C" w14:textId="3A9EA272" w:rsidR="00284FCE" w:rsidRDefault="005A0313">
          <w:pPr>
            <w:pStyle w:val="TOC1"/>
            <w:rPr>
              <w:rFonts w:asciiTheme="minorHAnsi" w:eastAsiaTheme="minorEastAsia" w:hAnsiTheme="minorHAnsi" w:cstheme="minorBidi"/>
              <w:b w:val="0"/>
              <w:noProof/>
              <w:lang w:eastAsia="en-AU"/>
            </w:rPr>
          </w:pPr>
          <w:hyperlink w:anchor="_Toc133239113" w:history="1">
            <w:r w:rsidR="00284FCE" w:rsidRPr="005E2027">
              <w:rPr>
                <w:rStyle w:val="Hyperlink"/>
                <w:noProof/>
                <w:lang w:eastAsia="en-AU"/>
              </w:rPr>
              <w:t>Types of searches</w:t>
            </w:r>
            <w:r w:rsidR="00284FCE">
              <w:rPr>
                <w:noProof/>
                <w:webHidden/>
              </w:rPr>
              <w:tab/>
            </w:r>
            <w:r w:rsidR="00284FCE">
              <w:rPr>
                <w:noProof/>
                <w:webHidden/>
              </w:rPr>
              <w:fldChar w:fldCharType="begin"/>
            </w:r>
            <w:r w:rsidR="00284FCE">
              <w:rPr>
                <w:noProof/>
                <w:webHidden/>
              </w:rPr>
              <w:instrText xml:space="preserve"> PAGEREF _Toc133239113 \h </w:instrText>
            </w:r>
            <w:r w:rsidR="00284FCE">
              <w:rPr>
                <w:noProof/>
                <w:webHidden/>
              </w:rPr>
            </w:r>
            <w:r w:rsidR="00284FCE">
              <w:rPr>
                <w:noProof/>
                <w:webHidden/>
              </w:rPr>
              <w:fldChar w:fldCharType="separate"/>
            </w:r>
            <w:r w:rsidR="00284FCE">
              <w:rPr>
                <w:noProof/>
                <w:webHidden/>
              </w:rPr>
              <w:t>2</w:t>
            </w:r>
            <w:r w:rsidR="00284FCE">
              <w:rPr>
                <w:noProof/>
                <w:webHidden/>
              </w:rPr>
              <w:fldChar w:fldCharType="end"/>
            </w:r>
          </w:hyperlink>
        </w:p>
        <w:p w14:paraId="1B015BB6" w14:textId="63DCF845" w:rsidR="00284FCE" w:rsidRDefault="005A0313">
          <w:pPr>
            <w:pStyle w:val="TOC1"/>
            <w:rPr>
              <w:rFonts w:asciiTheme="minorHAnsi" w:eastAsiaTheme="minorEastAsia" w:hAnsiTheme="minorHAnsi" w:cstheme="minorBidi"/>
              <w:b w:val="0"/>
              <w:noProof/>
              <w:lang w:eastAsia="en-AU"/>
            </w:rPr>
          </w:pPr>
          <w:hyperlink w:anchor="_Toc133239114" w:history="1">
            <w:r w:rsidR="00284FCE" w:rsidRPr="005E2027">
              <w:rPr>
                <w:rStyle w:val="Hyperlink"/>
                <w:noProof/>
                <w:lang w:eastAsia="en-AU"/>
              </w:rPr>
              <w:t>Lawful reason</w:t>
            </w:r>
            <w:r w:rsidR="00284FCE">
              <w:rPr>
                <w:noProof/>
                <w:webHidden/>
              </w:rPr>
              <w:tab/>
            </w:r>
            <w:r w:rsidR="00284FCE">
              <w:rPr>
                <w:noProof/>
                <w:webHidden/>
              </w:rPr>
              <w:fldChar w:fldCharType="begin"/>
            </w:r>
            <w:r w:rsidR="00284FCE">
              <w:rPr>
                <w:noProof/>
                <w:webHidden/>
              </w:rPr>
              <w:instrText xml:space="preserve"> PAGEREF _Toc133239114 \h </w:instrText>
            </w:r>
            <w:r w:rsidR="00284FCE">
              <w:rPr>
                <w:noProof/>
                <w:webHidden/>
              </w:rPr>
            </w:r>
            <w:r w:rsidR="00284FCE">
              <w:rPr>
                <w:noProof/>
                <w:webHidden/>
              </w:rPr>
              <w:fldChar w:fldCharType="separate"/>
            </w:r>
            <w:r w:rsidR="00284FCE">
              <w:rPr>
                <w:noProof/>
                <w:webHidden/>
              </w:rPr>
              <w:t>2</w:t>
            </w:r>
            <w:r w:rsidR="00284FCE">
              <w:rPr>
                <w:noProof/>
                <w:webHidden/>
              </w:rPr>
              <w:fldChar w:fldCharType="end"/>
            </w:r>
          </w:hyperlink>
        </w:p>
        <w:p w14:paraId="1E28176E" w14:textId="352A5A05" w:rsidR="00284FCE" w:rsidRDefault="005A0313">
          <w:pPr>
            <w:pStyle w:val="TOC1"/>
            <w:rPr>
              <w:rFonts w:asciiTheme="minorHAnsi" w:eastAsiaTheme="minorEastAsia" w:hAnsiTheme="minorHAnsi" w:cstheme="minorBidi"/>
              <w:b w:val="0"/>
              <w:noProof/>
              <w:lang w:eastAsia="en-AU"/>
            </w:rPr>
          </w:pPr>
          <w:hyperlink w:anchor="_Toc133239115" w:history="1">
            <w:r w:rsidR="00284FCE" w:rsidRPr="005E2027">
              <w:rPr>
                <w:rStyle w:val="Hyperlink"/>
                <w:noProof/>
                <w:lang w:eastAsia="en-AU"/>
              </w:rPr>
              <w:t>Guiding principles</w:t>
            </w:r>
            <w:r w:rsidR="00284FCE">
              <w:rPr>
                <w:noProof/>
                <w:webHidden/>
              </w:rPr>
              <w:tab/>
            </w:r>
            <w:r w:rsidR="00284FCE">
              <w:rPr>
                <w:noProof/>
                <w:webHidden/>
              </w:rPr>
              <w:fldChar w:fldCharType="begin"/>
            </w:r>
            <w:r w:rsidR="00284FCE">
              <w:rPr>
                <w:noProof/>
                <w:webHidden/>
              </w:rPr>
              <w:instrText xml:space="preserve"> PAGEREF _Toc133239115 \h </w:instrText>
            </w:r>
            <w:r w:rsidR="00284FCE">
              <w:rPr>
                <w:noProof/>
                <w:webHidden/>
              </w:rPr>
            </w:r>
            <w:r w:rsidR="00284FCE">
              <w:rPr>
                <w:noProof/>
                <w:webHidden/>
              </w:rPr>
              <w:fldChar w:fldCharType="separate"/>
            </w:r>
            <w:r w:rsidR="00284FCE">
              <w:rPr>
                <w:noProof/>
                <w:webHidden/>
              </w:rPr>
              <w:t>3</w:t>
            </w:r>
            <w:r w:rsidR="00284FCE">
              <w:rPr>
                <w:noProof/>
                <w:webHidden/>
              </w:rPr>
              <w:fldChar w:fldCharType="end"/>
            </w:r>
          </w:hyperlink>
        </w:p>
        <w:p w14:paraId="0317A74A" w14:textId="6C1AA1E3" w:rsidR="00284FCE" w:rsidRDefault="005A0313">
          <w:pPr>
            <w:pStyle w:val="TOC1"/>
            <w:rPr>
              <w:rFonts w:asciiTheme="minorHAnsi" w:eastAsiaTheme="minorEastAsia" w:hAnsiTheme="minorHAnsi" w:cstheme="minorBidi"/>
              <w:b w:val="0"/>
              <w:noProof/>
              <w:lang w:eastAsia="en-AU"/>
            </w:rPr>
          </w:pPr>
          <w:hyperlink w:anchor="_Toc133239116" w:history="1">
            <w:r w:rsidR="00284FCE" w:rsidRPr="005E2027">
              <w:rPr>
                <w:rStyle w:val="Hyperlink"/>
                <w:noProof/>
                <w:lang w:eastAsia="en-AU"/>
              </w:rPr>
              <w:t>Procedure</w:t>
            </w:r>
            <w:r w:rsidR="00284FCE">
              <w:rPr>
                <w:noProof/>
                <w:webHidden/>
              </w:rPr>
              <w:tab/>
            </w:r>
            <w:r w:rsidR="00284FCE">
              <w:rPr>
                <w:noProof/>
                <w:webHidden/>
              </w:rPr>
              <w:fldChar w:fldCharType="begin"/>
            </w:r>
            <w:r w:rsidR="00284FCE">
              <w:rPr>
                <w:noProof/>
                <w:webHidden/>
              </w:rPr>
              <w:instrText xml:space="preserve"> PAGEREF _Toc133239116 \h </w:instrText>
            </w:r>
            <w:r w:rsidR="00284FCE">
              <w:rPr>
                <w:noProof/>
                <w:webHidden/>
              </w:rPr>
            </w:r>
            <w:r w:rsidR="00284FCE">
              <w:rPr>
                <w:noProof/>
                <w:webHidden/>
              </w:rPr>
              <w:fldChar w:fldCharType="separate"/>
            </w:r>
            <w:r w:rsidR="00284FCE">
              <w:rPr>
                <w:noProof/>
                <w:webHidden/>
              </w:rPr>
              <w:t>4</w:t>
            </w:r>
            <w:r w:rsidR="00284FCE">
              <w:rPr>
                <w:noProof/>
                <w:webHidden/>
              </w:rPr>
              <w:fldChar w:fldCharType="end"/>
            </w:r>
          </w:hyperlink>
        </w:p>
        <w:p w14:paraId="3D796A92" w14:textId="39333F8B" w:rsidR="00284FCE" w:rsidRDefault="005A0313">
          <w:pPr>
            <w:pStyle w:val="TOC2"/>
            <w:rPr>
              <w:rFonts w:asciiTheme="minorHAnsi" w:eastAsiaTheme="minorEastAsia" w:hAnsiTheme="minorHAnsi" w:cstheme="minorBidi"/>
              <w:noProof/>
              <w:lang w:eastAsia="en-AU"/>
            </w:rPr>
          </w:pPr>
          <w:hyperlink w:anchor="_Toc133239117" w:history="1">
            <w:r w:rsidR="00284FCE" w:rsidRPr="005E2027">
              <w:rPr>
                <w:rStyle w:val="Hyperlink"/>
                <w:noProof/>
              </w:rPr>
              <w:t>Education and training</w:t>
            </w:r>
            <w:r w:rsidR="00284FCE">
              <w:rPr>
                <w:noProof/>
                <w:webHidden/>
              </w:rPr>
              <w:tab/>
            </w:r>
            <w:r w:rsidR="00284FCE">
              <w:rPr>
                <w:noProof/>
                <w:webHidden/>
              </w:rPr>
              <w:fldChar w:fldCharType="begin"/>
            </w:r>
            <w:r w:rsidR="00284FCE">
              <w:rPr>
                <w:noProof/>
                <w:webHidden/>
              </w:rPr>
              <w:instrText xml:space="preserve"> PAGEREF _Toc133239117 \h </w:instrText>
            </w:r>
            <w:r w:rsidR="00284FCE">
              <w:rPr>
                <w:noProof/>
                <w:webHidden/>
              </w:rPr>
            </w:r>
            <w:r w:rsidR="00284FCE">
              <w:rPr>
                <w:noProof/>
                <w:webHidden/>
              </w:rPr>
              <w:fldChar w:fldCharType="separate"/>
            </w:r>
            <w:r w:rsidR="00284FCE">
              <w:rPr>
                <w:noProof/>
                <w:webHidden/>
              </w:rPr>
              <w:t>4</w:t>
            </w:r>
            <w:r w:rsidR="00284FCE">
              <w:rPr>
                <w:noProof/>
                <w:webHidden/>
              </w:rPr>
              <w:fldChar w:fldCharType="end"/>
            </w:r>
          </w:hyperlink>
        </w:p>
        <w:p w14:paraId="75FA2EB7" w14:textId="79D12561" w:rsidR="00284FCE" w:rsidRDefault="005A0313">
          <w:pPr>
            <w:pStyle w:val="TOC2"/>
            <w:rPr>
              <w:rFonts w:asciiTheme="minorHAnsi" w:eastAsiaTheme="minorEastAsia" w:hAnsiTheme="minorHAnsi" w:cstheme="minorBidi"/>
              <w:noProof/>
              <w:lang w:eastAsia="en-AU"/>
            </w:rPr>
          </w:pPr>
          <w:hyperlink w:anchor="_Toc133239118" w:history="1">
            <w:r w:rsidR="00284FCE" w:rsidRPr="005E2027">
              <w:rPr>
                <w:rStyle w:val="Hyperlink"/>
                <w:noProof/>
              </w:rPr>
              <w:t>Decision to search</w:t>
            </w:r>
            <w:r w:rsidR="00284FCE">
              <w:rPr>
                <w:noProof/>
                <w:webHidden/>
              </w:rPr>
              <w:tab/>
            </w:r>
            <w:r w:rsidR="00284FCE">
              <w:rPr>
                <w:noProof/>
                <w:webHidden/>
              </w:rPr>
              <w:fldChar w:fldCharType="begin"/>
            </w:r>
            <w:r w:rsidR="00284FCE">
              <w:rPr>
                <w:noProof/>
                <w:webHidden/>
              </w:rPr>
              <w:instrText xml:space="preserve"> PAGEREF _Toc133239118 \h </w:instrText>
            </w:r>
            <w:r w:rsidR="00284FCE">
              <w:rPr>
                <w:noProof/>
                <w:webHidden/>
              </w:rPr>
            </w:r>
            <w:r w:rsidR="00284FCE">
              <w:rPr>
                <w:noProof/>
                <w:webHidden/>
              </w:rPr>
              <w:fldChar w:fldCharType="separate"/>
            </w:r>
            <w:r w:rsidR="00284FCE">
              <w:rPr>
                <w:noProof/>
                <w:webHidden/>
              </w:rPr>
              <w:t>4</w:t>
            </w:r>
            <w:r w:rsidR="00284FCE">
              <w:rPr>
                <w:noProof/>
                <w:webHidden/>
              </w:rPr>
              <w:fldChar w:fldCharType="end"/>
            </w:r>
          </w:hyperlink>
        </w:p>
        <w:p w14:paraId="19DF24DC" w14:textId="38893D54" w:rsidR="00284FCE" w:rsidRDefault="005A0313">
          <w:pPr>
            <w:pStyle w:val="TOC2"/>
            <w:rPr>
              <w:rFonts w:asciiTheme="minorHAnsi" w:eastAsiaTheme="minorEastAsia" w:hAnsiTheme="minorHAnsi" w:cstheme="minorBidi"/>
              <w:noProof/>
              <w:lang w:eastAsia="en-AU"/>
            </w:rPr>
          </w:pPr>
          <w:hyperlink w:anchor="_Toc133239119" w:history="1">
            <w:r w:rsidR="00284FCE" w:rsidRPr="005E2027">
              <w:rPr>
                <w:rStyle w:val="Hyperlink"/>
                <w:noProof/>
              </w:rPr>
              <w:t>Patient consent to conduct search</w:t>
            </w:r>
            <w:r w:rsidR="00284FCE">
              <w:rPr>
                <w:noProof/>
                <w:webHidden/>
              </w:rPr>
              <w:tab/>
            </w:r>
            <w:r w:rsidR="00284FCE">
              <w:rPr>
                <w:noProof/>
                <w:webHidden/>
              </w:rPr>
              <w:fldChar w:fldCharType="begin"/>
            </w:r>
            <w:r w:rsidR="00284FCE">
              <w:rPr>
                <w:noProof/>
                <w:webHidden/>
              </w:rPr>
              <w:instrText xml:space="preserve"> PAGEREF _Toc133239119 \h </w:instrText>
            </w:r>
            <w:r w:rsidR="00284FCE">
              <w:rPr>
                <w:noProof/>
                <w:webHidden/>
              </w:rPr>
            </w:r>
            <w:r w:rsidR="00284FCE">
              <w:rPr>
                <w:noProof/>
                <w:webHidden/>
              </w:rPr>
              <w:fldChar w:fldCharType="separate"/>
            </w:r>
            <w:r w:rsidR="00284FCE">
              <w:rPr>
                <w:noProof/>
                <w:webHidden/>
              </w:rPr>
              <w:t>4</w:t>
            </w:r>
            <w:r w:rsidR="00284FCE">
              <w:rPr>
                <w:noProof/>
                <w:webHidden/>
              </w:rPr>
              <w:fldChar w:fldCharType="end"/>
            </w:r>
          </w:hyperlink>
        </w:p>
        <w:p w14:paraId="2095C17F" w14:textId="4F5AC25C" w:rsidR="00284FCE" w:rsidRDefault="005A0313">
          <w:pPr>
            <w:pStyle w:val="TOC2"/>
            <w:rPr>
              <w:rFonts w:asciiTheme="minorHAnsi" w:eastAsiaTheme="minorEastAsia" w:hAnsiTheme="minorHAnsi" w:cstheme="minorBidi"/>
              <w:noProof/>
              <w:lang w:eastAsia="en-AU"/>
            </w:rPr>
          </w:pPr>
          <w:hyperlink w:anchor="_Toc133239120" w:history="1">
            <w:r w:rsidR="00284FCE" w:rsidRPr="005E2027">
              <w:rPr>
                <w:rStyle w:val="Hyperlink"/>
                <w:noProof/>
              </w:rPr>
              <w:t>Conducting the search</w:t>
            </w:r>
            <w:r w:rsidR="00284FCE">
              <w:rPr>
                <w:noProof/>
                <w:webHidden/>
              </w:rPr>
              <w:tab/>
            </w:r>
            <w:r w:rsidR="00284FCE">
              <w:rPr>
                <w:noProof/>
                <w:webHidden/>
              </w:rPr>
              <w:fldChar w:fldCharType="begin"/>
            </w:r>
            <w:r w:rsidR="00284FCE">
              <w:rPr>
                <w:noProof/>
                <w:webHidden/>
              </w:rPr>
              <w:instrText xml:space="preserve"> PAGEREF _Toc133239120 \h </w:instrText>
            </w:r>
            <w:r w:rsidR="00284FCE">
              <w:rPr>
                <w:noProof/>
                <w:webHidden/>
              </w:rPr>
            </w:r>
            <w:r w:rsidR="00284FCE">
              <w:rPr>
                <w:noProof/>
                <w:webHidden/>
              </w:rPr>
              <w:fldChar w:fldCharType="separate"/>
            </w:r>
            <w:r w:rsidR="00284FCE">
              <w:rPr>
                <w:noProof/>
                <w:webHidden/>
              </w:rPr>
              <w:t>5</w:t>
            </w:r>
            <w:r w:rsidR="00284FCE">
              <w:rPr>
                <w:noProof/>
                <w:webHidden/>
              </w:rPr>
              <w:fldChar w:fldCharType="end"/>
            </w:r>
          </w:hyperlink>
        </w:p>
        <w:p w14:paraId="2C2CFA1B" w14:textId="4287AEA0" w:rsidR="00284FCE" w:rsidRDefault="005A0313">
          <w:pPr>
            <w:pStyle w:val="TOC2"/>
            <w:rPr>
              <w:rFonts w:asciiTheme="minorHAnsi" w:eastAsiaTheme="minorEastAsia" w:hAnsiTheme="minorHAnsi" w:cstheme="minorBidi"/>
              <w:noProof/>
              <w:lang w:eastAsia="en-AU"/>
            </w:rPr>
          </w:pPr>
          <w:hyperlink w:anchor="_Toc133239121" w:history="1">
            <w:r w:rsidR="00284FCE" w:rsidRPr="005E2027">
              <w:rPr>
                <w:rStyle w:val="Hyperlink"/>
                <w:noProof/>
              </w:rPr>
              <w:t>Patients admitted to a high dependency unit</w:t>
            </w:r>
            <w:r w:rsidR="00284FCE">
              <w:rPr>
                <w:noProof/>
                <w:webHidden/>
              </w:rPr>
              <w:tab/>
            </w:r>
            <w:r w:rsidR="00284FCE">
              <w:rPr>
                <w:noProof/>
                <w:webHidden/>
              </w:rPr>
              <w:fldChar w:fldCharType="begin"/>
            </w:r>
            <w:r w:rsidR="00284FCE">
              <w:rPr>
                <w:noProof/>
                <w:webHidden/>
              </w:rPr>
              <w:instrText xml:space="preserve"> PAGEREF _Toc133239121 \h </w:instrText>
            </w:r>
            <w:r w:rsidR="00284FCE">
              <w:rPr>
                <w:noProof/>
                <w:webHidden/>
              </w:rPr>
            </w:r>
            <w:r w:rsidR="00284FCE">
              <w:rPr>
                <w:noProof/>
                <w:webHidden/>
              </w:rPr>
              <w:fldChar w:fldCharType="separate"/>
            </w:r>
            <w:r w:rsidR="00284FCE">
              <w:rPr>
                <w:noProof/>
                <w:webHidden/>
              </w:rPr>
              <w:t>5</w:t>
            </w:r>
            <w:r w:rsidR="00284FCE">
              <w:rPr>
                <w:noProof/>
                <w:webHidden/>
              </w:rPr>
              <w:fldChar w:fldCharType="end"/>
            </w:r>
          </w:hyperlink>
        </w:p>
        <w:p w14:paraId="5483B6E6" w14:textId="0CDD8196" w:rsidR="00284FCE" w:rsidRDefault="005A0313">
          <w:pPr>
            <w:pStyle w:val="TOC2"/>
            <w:rPr>
              <w:rFonts w:asciiTheme="minorHAnsi" w:eastAsiaTheme="minorEastAsia" w:hAnsiTheme="minorHAnsi" w:cstheme="minorBidi"/>
              <w:noProof/>
              <w:lang w:eastAsia="en-AU"/>
            </w:rPr>
          </w:pPr>
          <w:hyperlink w:anchor="_Toc133239122" w:history="1">
            <w:r w:rsidR="00284FCE" w:rsidRPr="005E2027">
              <w:rPr>
                <w:rStyle w:val="Hyperlink"/>
                <w:noProof/>
              </w:rPr>
              <w:t>Patient visitors</w:t>
            </w:r>
            <w:r w:rsidR="00284FCE">
              <w:rPr>
                <w:noProof/>
                <w:webHidden/>
              </w:rPr>
              <w:tab/>
            </w:r>
            <w:r w:rsidR="00284FCE">
              <w:rPr>
                <w:noProof/>
                <w:webHidden/>
              </w:rPr>
              <w:fldChar w:fldCharType="begin"/>
            </w:r>
            <w:r w:rsidR="00284FCE">
              <w:rPr>
                <w:noProof/>
                <w:webHidden/>
              </w:rPr>
              <w:instrText xml:space="preserve"> PAGEREF _Toc133239122 \h </w:instrText>
            </w:r>
            <w:r w:rsidR="00284FCE">
              <w:rPr>
                <w:noProof/>
                <w:webHidden/>
              </w:rPr>
            </w:r>
            <w:r w:rsidR="00284FCE">
              <w:rPr>
                <w:noProof/>
                <w:webHidden/>
              </w:rPr>
              <w:fldChar w:fldCharType="separate"/>
            </w:r>
            <w:r w:rsidR="00284FCE">
              <w:rPr>
                <w:noProof/>
                <w:webHidden/>
              </w:rPr>
              <w:t>5</w:t>
            </w:r>
            <w:r w:rsidR="00284FCE">
              <w:rPr>
                <w:noProof/>
                <w:webHidden/>
              </w:rPr>
              <w:fldChar w:fldCharType="end"/>
            </w:r>
          </w:hyperlink>
        </w:p>
        <w:p w14:paraId="5C0C6E45" w14:textId="32881723" w:rsidR="00284FCE" w:rsidRDefault="005A0313">
          <w:pPr>
            <w:pStyle w:val="TOC2"/>
            <w:rPr>
              <w:rFonts w:asciiTheme="minorHAnsi" w:eastAsiaTheme="minorEastAsia" w:hAnsiTheme="minorHAnsi" w:cstheme="minorBidi"/>
              <w:noProof/>
              <w:lang w:eastAsia="en-AU"/>
            </w:rPr>
          </w:pPr>
          <w:hyperlink w:anchor="_Toc133239123" w:history="1">
            <w:r w:rsidR="00284FCE" w:rsidRPr="005E2027">
              <w:rPr>
                <w:rStyle w:val="Hyperlink"/>
                <w:noProof/>
              </w:rPr>
              <w:t>Seizing items and their return</w:t>
            </w:r>
            <w:r w:rsidR="00284FCE">
              <w:rPr>
                <w:noProof/>
                <w:webHidden/>
              </w:rPr>
              <w:tab/>
            </w:r>
            <w:r w:rsidR="00284FCE">
              <w:rPr>
                <w:noProof/>
                <w:webHidden/>
              </w:rPr>
              <w:fldChar w:fldCharType="begin"/>
            </w:r>
            <w:r w:rsidR="00284FCE">
              <w:rPr>
                <w:noProof/>
                <w:webHidden/>
              </w:rPr>
              <w:instrText xml:space="preserve"> PAGEREF _Toc133239123 \h </w:instrText>
            </w:r>
            <w:r w:rsidR="00284FCE">
              <w:rPr>
                <w:noProof/>
                <w:webHidden/>
              </w:rPr>
            </w:r>
            <w:r w:rsidR="00284FCE">
              <w:rPr>
                <w:noProof/>
                <w:webHidden/>
              </w:rPr>
              <w:fldChar w:fldCharType="separate"/>
            </w:r>
            <w:r w:rsidR="00284FCE">
              <w:rPr>
                <w:noProof/>
                <w:webHidden/>
              </w:rPr>
              <w:t>5</w:t>
            </w:r>
            <w:r w:rsidR="00284FCE">
              <w:rPr>
                <w:noProof/>
                <w:webHidden/>
              </w:rPr>
              <w:fldChar w:fldCharType="end"/>
            </w:r>
          </w:hyperlink>
        </w:p>
        <w:p w14:paraId="63EF294D" w14:textId="219E488B" w:rsidR="00284FCE" w:rsidRDefault="005A0313">
          <w:pPr>
            <w:pStyle w:val="TOC2"/>
            <w:rPr>
              <w:rFonts w:asciiTheme="minorHAnsi" w:eastAsiaTheme="minorEastAsia" w:hAnsiTheme="minorHAnsi" w:cstheme="minorBidi"/>
              <w:noProof/>
              <w:lang w:eastAsia="en-AU"/>
            </w:rPr>
          </w:pPr>
          <w:hyperlink w:anchor="_Toc133239124" w:history="1">
            <w:r w:rsidR="00284FCE" w:rsidRPr="005E2027">
              <w:rPr>
                <w:rStyle w:val="Hyperlink"/>
                <w:noProof/>
              </w:rPr>
              <w:t>Documentation</w:t>
            </w:r>
            <w:r w:rsidR="00284FCE">
              <w:rPr>
                <w:noProof/>
                <w:webHidden/>
              </w:rPr>
              <w:tab/>
            </w:r>
            <w:r w:rsidR="00284FCE">
              <w:rPr>
                <w:noProof/>
                <w:webHidden/>
              </w:rPr>
              <w:fldChar w:fldCharType="begin"/>
            </w:r>
            <w:r w:rsidR="00284FCE">
              <w:rPr>
                <w:noProof/>
                <w:webHidden/>
              </w:rPr>
              <w:instrText xml:space="preserve"> PAGEREF _Toc133239124 \h </w:instrText>
            </w:r>
            <w:r w:rsidR="00284FCE">
              <w:rPr>
                <w:noProof/>
                <w:webHidden/>
              </w:rPr>
            </w:r>
            <w:r w:rsidR="00284FCE">
              <w:rPr>
                <w:noProof/>
                <w:webHidden/>
              </w:rPr>
              <w:fldChar w:fldCharType="separate"/>
            </w:r>
            <w:r w:rsidR="00284FCE">
              <w:rPr>
                <w:noProof/>
                <w:webHidden/>
              </w:rPr>
              <w:t>6</w:t>
            </w:r>
            <w:r w:rsidR="00284FCE">
              <w:rPr>
                <w:noProof/>
                <w:webHidden/>
              </w:rPr>
              <w:fldChar w:fldCharType="end"/>
            </w:r>
          </w:hyperlink>
        </w:p>
        <w:p w14:paraId="69105FD0" w14:textId="43E5936E" w:rsidR="00284FCE" w:rsidRDefault="005A0313">
          <w:pPr>
            <w:pStyle w:val="TOC2"/>
            <w:rPr>
              <w:rFonts w:asciiTheme="minorHAnsi" w:eastAsiaTheme="minorEastAsia" w:hAnsiTheme="minorHAnsi" w:cstheme="minorBidi"/>
              <w:noProof/>
              <w:lang w:eastAsia="en-AU"/>
            </w:rPr>
          </w:pPr>
          <w:hyperlink w:anchor="_Toc133239125" w:history="1">
            <w:r w:rsidR="00284FCE" w:rsidRPr="005E2027">
              <w:rPr>
                <w:rStyle w:val="Hyperlink"/>
                <w:noProof/>
              </w:rPr>
              <w:t>Register</w:t>
            </w:r>
            <w:r w:rsidR="00284FCE">
              <w:rPr>
                <w:noProof/>
                <w:webHidden/>
              </w:rPr>
              <w:tab/>
            </w:r>
            <w:r w:rsidR="00284FCE">
              <w:rPr>
                <w:noProof/>
                <w:webHidden/>
              </w:rPr>
              <w:fldChar w:fldCharType="begin"/>
            </w:r>
            <w:r w:rsidR="00284FCE">
              <w:rPr>
                <w:noProof/>
                <w:webHidden/>
              </w:rPr>
              <w:instrText xml:space="preserve"> PAGEREF _Toc133239125 \h </w:instrText>
            </w:r>
            <w:r w:rsidR="00284FCE">
              <w:rPr>
                <w:noProof/>
                <w:webHidden/>
              </w:rPr>
            </w:r>
            <w:r w:rsidR="00284FCE">
              <w:rPr>
                <w:noProof/>
                <w:webHidden/>
              </w:rPr>
              <w:fldChar w:fldCharType="separate"/>
            </w:r>
            <w:r w:rsidR="00284FCE">
              <w:rPr>
                <w:noProof/>
                <w:webHidden/>
              </w:rPr>
              <w:t>6</w:t>
            </w:r>
            <w:r w:rsidR="00284FCE">
              <w:rPr>
                <w:noProof/>
                <w:webHidden/>
              </w:rPr>
              <w:fldChar w:fldCharType="end"/>
            </w:r>
          </w:hyperlink>
        </w:p>
        <w:p w14:paraId="34389D88" w14:textId="11D3FD84" w:rsidR="00284FCE" w:rsidRDefault="005A0313">
          <w:pPr>
            <w:pStyle w:val="TOC1"/>
            <w:rPr>
              <w:rFonts w:asciiTheme="minorHAnsi" w:eastAsiaTheme="minorEastAsia" w:hAnsiTheme="minorHAnsi" w:cstheme="minorBidi"/>
              <w:b w:val="0"/>
              <w:noProof/>
              <w:lang w:eastAsia="en-AU"/>
            </w:rPr>
          </w:pPr>
          <w:hyperlink w:anchor="_Toc133239126" w:history="1">
            <w:r w:rsidR="00284FCE" w:rsidRPr="005E2027">
              <w:rPr>
                <w:rStyle w:val="Hyperlink"/>
                <w:noProof/>
                <w:lang w:eastAsia="en-AU"/>
              </w:rPr>
              <w:t>Other relevant legislation</w:t>
            </w:r>
            <w:r w:rsidR="00284FCE">
              <w:rPr>
                <w:noProof/>
                <w:webHidden/>
              </w:rPr>
              <w:tab/>
            </w:r>
            <w:r w:rsidR="00284FCE">
              <w:rPr>
                <w:noProof/>
                <w:webHidden/>
              </w:rPr>
              <w:fldChar w:fldCharType="begin"/>
            </w:r>
            <w:r w:rsidR="00284FCE">
              <w:rPr>
                <w:noProof/>
                <w:webHidden/>
              </w:rPr>
              <w:instrText xml:space="preserve"> PAGEREF _Toc133239126 \h </w:instrText>
            </w:r>
            <w:r w:rsidR="00284FCE">
              <w:rPr>
                <w:noProof/>
                <w:webHidden/>
              </w:rPr>
            </w:r>
            <w:r w:rsidR="00284FCE">
              <w:rPr>
                <w:noProof/>
                <w:webHidden/>
              </w:rPr>
              <w:fldChar w:fldCharType="separate"/>
            </w:r>
            <w:r w:rsidR="00284FCE">
              <w:rPr>
                <w:noProof/>
                <w:webHidden/>
              </w:rPr>
              <w:t>6</w:t>
            </w:r>
            <w:r w:rsidR="00284FCE">
              <w:rPr>
                <w:noProof/>
                <w:webHidden/>
              </w:rPr>
              <w:fldChar w:fldCharType="end"/>
            </w:r>
          </w:hyperlink>
        </w:p>
        <w:p w14:paraId="28C83947" w14:textId="77777777" w:rsidR="00284FCE" w:rsidRDefault="00A43AF0" w:rsidP="00D73183">
          <w:pPr>
            <w:rPr>
              <w:b/>
              <w:bCs/>
              <w:noProof/>
            </w:rPr>
          </w:pPr>
          <w:r>
            <w:rPr>
              <w:b/>
              <w:bCs/>
              <w:noProof/>
            </w:rPr>
            <w:fldChar w:fldCharType="end"/>
          </w:r>
        </w:p>
        <w:p w14:paraId="5994B292" w14:textId="28F9FB52" w:rsidR="00A43AF0" w:rsidRDefault="00284FCE" w:rsidP="00D73183">
          <w:r>
            <w:rPr>
              <w:b/>
              <w:bCs/>
              <w:noProof/>
            </w:rPr>
            <w:br w:type="page"/>
          </w:r>
        </w:p>
      </w:sdtContent>
    </w:sdt>
    <w:p w14:paraId="767CC440" w14:textId="77777777" w:rsidR="00D73183" w:rsidRDefault="00D73183" w:rsidP="00A43AF0">
      <w:pPr>
        <w:pStyle w:val="Heading1"/>
      </w:pPr>
      <w:bookmarkStart w:id="5" w:name="_Toc133239112"/>
      <w:r>
        <w:lastRenderedPageBreak/>
        <w:t>Introduction</w:t>
      </w:r>
      <w:bookmarkEnd w:id="5"/>
    </w:p>
    <w:p w14:paraId="2B81D32C" w14:textId="745E96AA" w:rsidR="00D73183" w:rsidRPr="00D2365F" w:rsidRDefault="00D73183" w:rsidP="00D73183">
      <w:pPr>
        <w:rPr>
          <w:lang w:eastAsia="en-AU"/>
        </w:rPr>
      </w:pPr>
      <w:r>
        <w:rPr>
          <w:lang w:eastAsia="en-AU"/>
        </w:rPr>
        <w:t>Approved treatment facilities (ATF)</w:t>
      </w:r>
      <w:r w:rsidRPr="00D2365F">
        <w:rPr>
          <w:lang w:eastAsia="en-AU"/>
        </w:rPr>
        <w:t xml:space="preserve"> are required to provide and maintain a safe therapeutic environment that promotes the safety, wellbeing and recovery of patients. The </w:t>
      </w:r>
      <w:r>
        <w:rPr>
          <w:lang w:eastAsia="en-AU"/>
        </w:rPr>
        <w:t>facility</w:t>
      </w:r>
      <w:r w:rsidRPr="00D2365F">
        <w:rPr>
          <w:lang w:eastAsia="en-AU"/>
        </w:rPr>
        <w:t xml:space="preserve"> should make every effort to protect patients from abuse and exploitation and minimise the risk of deliberate self–harm and suicide. In addition, the environment needs to meet occupational health and safety requirements by providing a safe workplace and environment for patients, visitors and staff. The </w:t>
      </w:r>
      <w:r w:rsidRPr="00AB3B9B">
        <w:rPr>
          <w:i/>
          <w:lang w:eastAsia="en-AU"/>
        </w:rPr>
        <w:t>Work Health and Safety (National Uniform Legislation) Act 2011</w:t>
      </w:r>
      <w:r>
        <w:rPr>
          <w:i/>
          <w:lang w:eastAsia="en-AU"/>
        </w:rPr>
        <w:t xml:space="preserve"> </w:t>
      </w:r>
      <w:r w:rsidRPr="00AB3B9B">
        <w:rPr>
          <w:lang w:eastAsia="en-AU"/>
        </w:rPr>
        <w:t>(</w:t>
      </w:r>
      <w:r>
        <w:rPr>
          <w:lang w:eastAsia="en-AU"/>
        </w:rPr>
        <w:t xml:space="preserve">the </w:t>
      </w:r>
      <w:r w:rsidRPr="00AB3B9B">
        <w:rPr>
          <w:lang w:eastAsia="en-AU"/>
        </w:rPr>
        <w:t>WHS Act)</w:t>
      </w:r>
      <w:r>
        <w:rPr>
          <w:i/>
          <w:lang w:eastAsia="en-AU"/>
        </w:rPr>
        <w:t xml:space="preserve"> </w:t>
      </w:r>
      <w:r w:rsidRPr="00D2365F">
        <w:rPr>
          <w:lang w:eastAsia="en-AU"/>
        </w:rPr>
        <w:t xml:space="preserve">makes clear that this is a duty not only of the service but also of its employees. (Section </w:t>
      </w:r>
      <w:r>
        <w:rPr>
          <w:lang w:eastAsia="en-AU"/>
        </w:rPr>
        <w:t>28(b) of Part 2</w:t>
      </w:r>
      <w:r w:rsidRPr="00D2365F">
        <w:rPr>
          <w:lang w:eastAsia="en-AU"/>
        </w:rPr>
        <w:t xml:space="preserve"> of the </w:t>
      </w:r>
      <w:r>
        <w:rPr>
          <w:lang w:eastAsia="en-AU"/>
        </w:rPr>
        <w:t>WHS</w:t>
      </w:r>
      <w:r w:rsidRPr="00D2365F">
        <w:rPr>
          <w:lang w:eastAsia="en-AU"/>
        </w:rPr>
        <w:t xml:space="preserve"> Act states that it is the duty of employees</w:t>
      </w:r>
      <w:r>
        <w:rPr>
          <w:lang w:eastAsia="en-AU"/>
        </w:rPr>
        <w:t xml:space="preserve"> </w:t>
      </w:r>
      <w:r w:rsidRPr="00D2365F">
        <w:rPr>
          <w:lang w:eastAsia="en-AU"/>
        </w:rPr>
        <w:t>to '</w:t>
      </w:r>
      <w:r w:rsidRPr="004470A7">
        <w:t xml:space="preserve"> </w:t>
      </w:r>
      <w:r w:rsidRPr="004470A7">
        <w:rPr>
          <w:lang w:eastAsia="en-AU"/>
        </w:rPr>
        <w:t xml:space="preserve">take reasonable care that </w:t>
      </w:r>
      <w:r w:rsidR="00C22D2B">
        <w:rPr>
          <w:lang w:eastAsia="en-AU"/>
        </w:rPr>
        <w:t xml:space="preserve">their </w:t>
      </w:r>
      <w:r w:rsidRPr="004470A7">
        <w:rPr>
          <w:lang w:eastAsia="en-AU"/>
        </w:rPr>
        <w:t>acts or omissions do not adversely affect the health and safety of other persons</w:t>
      </w:r>
      <w:r w:rsidRPr="00D2365F">
        <w:rPr>
          <w:lang w:eastAsia="en-AU"/>
        </w:rPr>
        <w:t>')</w:t>
      </w:r>
      <w:r>
        <w:rPr>
          <w:lang w:eastAsia="en-AU"/>
        </w:rPr>
        <w:t>.</w:t>
      </w:r>
    </w:p>
    <w:p w14:paraId="2E8F05A5" w14:textId="77777777" w:rsidR="00D73183" w:rsidRPr="00D2365F" w:rsidRDefault="00D73183" w:rsidP="00D73183">
      <w:pPr>
        <w:rPr>
          <w:lang w:eastAsia="en-AU"/>
        </w:rPr>
      </w:pPr>
      <w:r w:rsidRPr="00D2365F">
        <w:rPr>
          <w:lang w:eastAsia="en-AU"/>
        </w:rPr>
        <w:t xml:space="preserve">The need to undertake a search of the </w:t>
      </w:r>
      <w:r>
        <w:rPr>
          <w:lang w:eastAsia="en-AU"/>
        </w:rPr>
        <w:t>accommodation</w:t>
      </w:r>
      <w:r w:rsidRPr="00D2365F">
        <w:rPr>
          <w:lang w:eastAsia="en-AU"/>
        </w:rPr>
        <w:t xml:space="preserve"> or belongings of a patient admitted to a</w:t>
      </w:r>
      <w:r>
        <w:rPr>
          <w:lang w:eastAsia="en-AU"/>
        </w:rPr>
        <w:t>n ATF</w:t>
      </w:r>
      <w:r w:rsidRPr="00D2365F">
        <w:rPr>
          <w:lang w:eastAsia="en-AU"/>
        </w:rPr>
        <w:t xml:space="preserve">, or to undertake a physical search, must be based on an assessment of the patient and the level of clinical or environmental risk to the patient, other patients, visitors and staff. Based on this assessment, there will be times when it may be necessary to search a patient or their </w:t>
      </w:r>
      <w:r>
        <w:rPr>
          <w:lang w:eastAsia="en-AU"/>
        </w:rPr>
        <w:t>accommodation</w:t>
      </w:r>
      <w:r w:rsidRPr="00D2365F">
        <w:rPr>
          <w:lang w:eastAsia="en-AU"/>
        </w:rPr>
        <w:t xml:space="preserve"> and belongings to ensure their safety or the safety of others. This may occur at various points in an episode of care, for example, on admission to an inpatient unit, following any planned or unplanned leave, or prior to an episode of seclusion.</w:t>
      </w:r>
    </w:p>
    <w:p w14:paraId="3FD8496F" w14:textId="77777777" w:rsidR="00D73183" w:rsidRPr="00D2365F" w:rsidRDefault="00D73183" w:rsidP="00D73183">
      <w:pPr>
        <w:rPr>
          <w:lang w:eastAsia="en-AU"/>
        </w:rPr>
      </w:pPr>
      <w:r w:rsidRPr="00D2365F">
        <w:rPr>
          <w:lang w:eastAsia="en-AU"/>
        </w:rPr>
        <w:t>While safety is the primary concern, human rights</w:t>
      </w:r>
      <w:r>
        <w:rPr>
          <w:lang w:eastAsia="en-AU"/>
        </w:rPr>
        <w:t>,</w:t>
      </w:r>
      <w:r w:rsidRPr="00D2365F">
        <w:rPr>
          <w:lang w:eastAsia="en-AU"/>
        </w:rPr>
        <w:t xml:space="preserve"> such as respect, privacy, dignity and confidentiality must be taken into account. Searching a patient or their belongings is an intrusive intervention that must only be used when it is the only reasonable and practicable course of action to avoid or prevent a serious risk of harm to a patient or harm to others. When a search is undertaken, every effort should be made to observe the patient’s rights to the greatest extent possible under the circumstances.</w:t>
      </w:r>
    </w:p>
    <w:p w14:paraId="6785ED88" w14:textId="77777777" w:rsidR="00D73183" w:rsidRDefault="00D73183" w:rsidP="00D73183">
      <w:pPr>
        <w:rPr>
          <w:lang w:eastAsia="en-AU"/>
        </w:rPr>
      </w:pPr>
      <w:r w:rsidRPr="00D2365F">
        <w:rPr>
          <w:lang w:eastAsia="en-AU"/>
        </w:rPr>
        <w:t>When determining whether to search a patient, issues that must be considered by the treating team include the patient’s safety, past history of abuse/trauma, human rights issues, therapeutic relationship, environmental safety and occupational health and safety. If there are less intrusive options to ensure safety, then these must be considered and the reasons why these options were or were not adopted documented in the clinical record. Wherever possible, medical staff treating the patient should be involved in the decision making when consideration is being given to patient searches.</w:t>
      </w:r>
    </w:p>
    <w:p w14:paraId="17F65BD1" w14:textId="77777777" w:rsidR="00D73183" w:rsidRDefault="00D73183" w:rsidP="00A43AF0">
      <w:pPr>
        <w:pStyle w:val="Heading1"/>
        <w:rPr>
          <w:lang w:eastAsia="en-AU"/>
        </w:rPr>
      </w:pPr>
      <w:bookmarkStart w:id="6" w:name="_Toc133239113"/>
      <w:r>
        <w:rPr>
          <w:lang w:eastAsia="en-AU"/>
        </w:rPr>
        <w:t>Types of searches</w:t>
      </w:r>
      <w:bookmarkEnd w:id="6"/>
    </w:p>
    <w:p w14:paraId="256F948B" w14:textId="77777777" w:rsidR="0071273D" w:rsidRDefault="0071273D" w:rsidP="0071273D">
      <w:pPr>
        <w:pStyle w:val="ListParagraph"/>
        <w:rPr>
          <w:lang w:eastAsia="en-AU"/>
        </w:rPr>
      </w:pPr>
      <w:r>
        <w:rPr>
          <w:lang w:eastAsia="en-AU"/>
        </w:rPr>
        <w:t>For the purpose of seclusion and putting someone in a non-tear gown, follow Approved Procedure 11.</w:t>
      </w:r>
    </w:p>
    <w:p w14:paraId="612D197F" w14:textId="77777777" w:rsidR="00D73183" w:rsidRDefault="00D73183" w:rsidP="00D73183">
      <w:pPr>
        <w:rPr>
          <w:lang w:eastAsia="en-AU"/>
        </w:rPr>
      </w:pPr>
      <w:r>
        <w:rPr>
          <w:lang w:eastAsia="en-AU"/>
        </w:rPr>
        <w:t>There are four types of searches of a person.</w:t>
      </w:r>
    </w:p>
    <w:p w14:paraId="1A37FC4C" w14:textId="77777777" w:rsidR="00D73183" w:rsidRDefault="00D73183" w:rsidP="00D73183">
      <w:pPr>
        <w:pStyle w:val="ListParagraph"/>
        <w:numPr>
          <w:ilvl w:val="0"/>
          <w:numId w:val="29"/>
        </w:numPr>
        <w:spacing w:before="60" w:after="60"/>
        <w:rPr>
          <w:lang w:eastAsia="en-AU"/>
        </w:rPr>
      </w:pPr>
      <w:r>
        <w:rPr>
          <w:lang w:eastAsia="en-AU"/>
        </w:rPr>
        <w:t xml:space="preserve">A </w:t>
      </w:r>
      <w:r w:rsidRPr="00EA1CCB">
        <w:rPr>
          <w:b/>
          <w:lang w:eastAsia="en-AU"/>
        </w:rPr>
        <w:t>general search</w:t>
      </w:r>
      <w:r>
        <w:rPr>
          <w:lang w:eastAsia="en-AU"/>
        </w:rPr>
        <w:t>, to reveal the content of the person’s outer garments, general clothes or belongings. Neither the person nor their belongings may be touched. The person may also be required to open their hands or mouth for visual inspection, or shake their hair vigorously.</w:t>
      </w:r>
    </w:p>
    <w:p w14:paraId="70D6BD4F" w14:textId="77777777" w:rsidR="00D73183" w:rsidRDefault="00D73183" w:rsidP="00D73183">
      <w:pPr>
        <w:pStyle w:val="ListParagraph"/>
        <w:numPr>
          <w:ilvl w:val="0"/>
          <w:numId w:val="29"/>
        </w:numPr>
        <w:spacing w:before="60" w:after="60"/>
        <w:rPr>
          <w:lang w:eastAsia="en-AU"/>
        </w:rPr>
      </w:pPr>
      <w:r>
        <w:rPr>
          <w:lang w:eastAsia="en-AU"/>
        </w:rPr>
        <w:t xml:space="preserve">A </w:t>
      </w:r>
      <w:r w:rsidRPr="00EA1CCB">
        <w:rPr>
          <w:b/>
          <w:lang w:eastAsia="en-AU"/>
        </w:rPr>
        <w:t>personal search</w:t>
      </w:r>
      <w:r>
        <w:rPr>
          <w:lang w:eastAsia="en-AU"/>
        </w:rPr>
        <w:t>, during which light pressure is momentarily applied to the person over their clothes without direct contact being made with the person’s genital or anal areas. If the person is female, contact cannot be made with the person’s breasts.</w:t>
      </w:r>
    </w:p>
    <w:p w14:paraId="79296766" w14:textId="77777777" w:rsidR="00D73183" w:rsidRDefault="00D73183" w:rsidP="00D73183">
      <w:pPr>
        <w:pStyle w:val="ListParagraph"/>
        <w:numPr>
          <w:ilvl w:val="0"/>
          <w:numId w:val="29"/>
        </w:numPr>
        <w:spacing w:before="60" w:after="60"/>
        <w:rPr>
          <w:lang w:eastAsia="en-AU"/>
        </w:rPr>
      </w:pPr>
      <w:r>
        <w:rPr>
          <w:lang w:eastAsia="en-AU"/>
        </w:rPr>
        <w:t xml:space="preserve">A </w:t>
      </w:r>
      <w:r w:rsidRPr="00EA1CCB">
        <w:rPr>
          <w:b/>
          <w:lang w:eastAsia="en-AU"/>
        </w:rPr>
        <w:t>scanning search</w:t>
      </w:r>
      <w:r>
        <w:rPr>
          <w:lang w:eastAsia="en-AU"/>
        </w:rPr>
        <w:t>, where electronic or other means are used to search a person. The person is not required to remove their clothes, or be touched by another person.</w:t>
      </w:r>
    </w:p>
    <w:p w14:paraId="44709CE1" w14:textId="77777777" w:rsidR="00D73183" w:rsidRDefault="00D73183" w:rsidP="00D73183">
      <w:pPr>
        <w:pStyle w:val="ListParagraph"/>
        <w:numPr>
          <w:ilvl w:val="0"/>
          <w:numId w:val="29"/>
        </w:numPr>
        <w:spacing w:before="60" w:after="60"/>
        <w:rPr>
          <w:lang w:eastAsia="en-AU"/>
        </w:rPr>
      </w:pPr>
      <w:r>
        <w:rPr>
          <w:lang w:eastAsia="en-AU"/>
        </w:rPr>
        <w:t xml:space="preserve">A </w:t>
      </w:r>
      <w:r w:rsidRPr="00EA1CCB">
        <w:rPr>
          <w:b/>
          <w:lang w:eastAsia="en-AU"/>
        </w:rPr>
        <w:t>search requiring the removal of clothing</w:t>
      </w:r>
      <w:r>
        <w:rPr>
          <w:lang w:eastAsia="en-AU"/>
        </w:rPr>
        <w:t>, where the person removes all garments during the search. Direct contact cannot be made with the person.</w:t>
      </w:r>
    </w:p>
    <w:p w14:paraId="2F3F4213" w14:textId="0224C4CA" w:rsidR="00D73183" w:rsidRDefault="00D73183" w:rsidP="00D73183">
      <w:pPr>
        <w:pStyle w:val="ListParagraph"/>
        <w:rPr>
          <w:lang w:eastAsia="en-AU"/>
        </w:rPr>
      </w:pPr>
      <w:r w:rsidRPr="005F5552">
        <w:rPr>
          <w:lang w:eastAsia="en-AU"/>
        </w:rPr>
        <w:lastRenderedPageBreak/>
        <w:t>Generally, the more intrusive the search, the more this balance should be struck in favour of protecting the individual rights of patients.</w:t>
      </w:r>
    </w:p>
    <w:p w14:paraId="28D6A0AE" w14:textId="77777777" w:rsidR="00D73183" w:rsidRDefault="00D73183" w:rsidP="00A43AF0">
      <w:pPr>
        <w:pStyle w:val="Heading1"/>
        <w:rPr>
          <w:lang w:eastAsia="en-AU"/>
        </w:rPr>
      </w:pPr>
      <w:bookmarkStart w:id="7" w:name="_Toc133239114"/>
      <w:r>
        <w:rPr>
          <w:lang w:eastAsia="en-AU"/>
        </w:rPr>
        <w:t>Lawful reason</w:t>
      </w:r>
      <w:bookmarkEnd w:id="7"/>
    </w:p>
    <w:p w14:paraId="4CDEFB84" w14:textId="77777777" w:rsidR="00D73183" w:rsidRDefault="00D73183" w:rsidP="00D73183">
      <w:pPr>
        <w:rPr>
          <w:lang w:eastAsia="en-AU"/>
        </w:rPr>
      </w:pPr>
      <w:r>
        <w:rPr>
          <w:lang w:eastAsia="en-AU"/>
        </w:rPr>
        <w:t>In order to lawfully perform a contact search of a person (that is, a search involving bodily contact or the removal of clothing), staff must have a lawful reason.</w:t>
      </w:r>
    </w:p>
    <w:p w14:paraId="2163DBA9" w14:textId="4E7A4F57" w:rsidR="00D73183" w:rsidRDefault="00D73183" w:rsidP="00D73183">
      <w:pPr>
        <w:rPr>
          <w:lang w:eastAsia="en-AU"/>
        </w:rPr>
      </w:pPr>
      <w:r>
        <w:rPr>
          <w:lang w:eastAsia="en-AU"/>
        </w:rPr>
        <w:t>Parts 5 and 6 of the Act contemplate the use of reasonable force against patients, extending to patients who are not receiving ‘treatment under the Act’ at the relevant time. This reasonable force may be administered by certain mental health staff, police, ambulance officers, and in some limited circumstances, by other persons. However, these provisions do not contemplate a complete right to</w:t>
      </w:r>
      <w:r w:rsidRPr="00C46D4D">
        <w:t xml:space="preserve"> </w:t>
      </w:r>
      <w:r>
        <w:rPr>
          <w:lang w:eastAsia="en-AU"/>
        </w:rPr>
        <w:t xml:space="preserve">perform a search over a </w:t>
      </w:r>
      <w:r w:rsidR="000656D4">
        <w:rPr>
          <w:lang w:eastAsia="en-AU"/>
        </w:rPr>
        <w:t>person</w:t>
      </w:r>
      <w:r>
        <w:rPr>
          <w:lang w:eastAsia="en-AU"/>
        </w:rPr>
        <w:t xml:space="preserve">, rather it appears the entitlement arises only if necessary and justified in all the circumstances to limit or prevent ‘serious harm’ to the </w:t>
      </w:r>
      <w:r w:rsidR="000656D4">
        <w:rPr>
          <w:lang w:eastAsia="en-AU"/>
        </w:rPr>
        <w:t xml:space="preserve">person </w:t>
      </w:r>
      <w:r>
        <w:rPr>
          <w:lang w:eastAsia="en-AU"/>
        </w:rPr>
        <w:t>or to others.</w:t>
      </w:r>
    </w:p>
    <w:p w14:paraId="0EEE9AAB" w14:textId="77777777" w:rsidR="00D73183" w:rsidRDefault="00D73183" w:rsidP="00D73183">
      <w:pPr>
        <w:rPr>
          <w:lang w:eastAsia="en-AU"/>
        </w:rPr>
      </w:pPr>
      <w:r>
        <w:rPr>
          <w:lang w:eastAsia="en-AU"/>
        </w:rPr>
        <w:t xml:space="preserve">In certain circumstances, staff could also rely upon sections of the </w:t>
      </w:r>
      <w:r w:rsidRPr="007F0C45">
        <w:rPr>
          <w:i/>
          <w:lang w:eastAsia="en-AU"/>
        </w:rPr>
        <w:t xml:space="preserve">Work Health </w:t>
      </w:r>
      <w:r>
        <w:rPr>
          <w:i/>
          <w:lang w:eastAsia="en-AU"/>
        </w:rPr>
        <w:t>and Safety Nation</w:t>
      </w:r>
      <w:r w:rsidRPr="007F0C45">
        <w:rPr>
          <w:i/>
          <w:lang w:eastAsia="en-AU"/>
        </w:rPr>
        <w:t>al Uniform Legislation) Act 2011</w:t>
      </w:r>
      <w:r>
        <w:rPr>
          <w:lang w:eastAsia="en-AU"/>
        </w:rPr>
        <w:t xml:space="preserve"> to justify conducting an intrusive search of a person:</w:t>
      </w:r>
    </w:p>
    <w:p w14:paraId="72B05567" w14:textId="77777777" w:rsidR="00D73183" w:rsidRDefault="00D73183" w:rsidP="00D73183">
      <w:pPr>
        <w:rPr>
          <w:lang w:eastAsia="en-AU"/>
        </w:rPr>
      </w:pPr>
      <w:r>
        <w:rPr>
          <w:lang w:eastAsia="en-AU"/>
        </w:rPr>
        <w:t xml:space="preserve">Under Division 2 of the </w:t>
      </w:r>
      <w:r w:rsidRPr="00F21254">
        <w:rPr>
          <w:i/>
          <w:lang w:eastAsia="en-AU"/>
        </w:rPr>
        <w:t>Work Health and Safety National Uniform Legislation) Act 2011</w:t>
      </w:r>
      <w:r>
        <w:rPr>
          <w:lang w:eastAsia="en-AU"/>
        </w:rPr>
        <w:t>, mental health facilities including emergency departments) must take steps to reduce health and safety risks so far as is reasonably practicable. In some circumstances, the need to reduce health and safety risks to staff, patients and visitors may justify conducting a search. The action taken would need to be reasonable in the circumstances.</w:t>
      </w:r>
    </w:p>
    <w:p w14:paraId="71C954F7" w14:textId="77777777" w:rsidR="00D73183" w:rsidRDefault="00D73183" w:rsidP="00A43AF0">
      <w:pPr>
        <w:pStyle w:val="Heading1"/>
        <w:rPr>
          <w:noProof/>
          <w:lang w:eastAsia="en-AU"/>
        </w:rPr>
      </w:pPr>
      <w:bookmarkStart w:id="8" w:name="_Toc133239115"/>
      <w:r>
        <w:rPr>
          <w:noProof/>
          <w:lang w:eastAsia="en-AU"/>
        </w:rPr>
        <w:t>Guiding principles</w:t>
      </w:r>
      <w:bookmarkEnd w:id="8"/>
    </w:p>
    <w:p w14:paraId="53CD6E02" w14:textId="77777777" w:rsidR="00D73183" w:rsidRDefault="00D73183" w:rsidP="00D73183">
      <w:pPr>
        <w:pStyle w:val="ListParagraph"/>
        <w:numPr>
          <w:ilvl w:val="0"/>
          <w:numId w:val="25"/>
        </w:numPr>
        <w:rPr>
          <w:noProof/>
          <w:lang w:eastAsia="en-AU"/>
        </w:rPr>
      </w:pPr>
      <w:r>
        <w:rPr>
          <w:noProof/>
          <w:lang w:eastAsia="en-AU"/>
        </w:rPr>
        <w:t>In the interest of patient, staff and visitor safety there may be times when it is necessary to conduct searches of (herein referred to as a “search”):</w:t>
      </w:r>
    </w:p>
    <w:p w14:paraId="0B021A52" w14:textId="77777777" w:rsidR="00D73183" w:rsidRDefault="00D73183" w:rsidP="00D73183">
      <w:pPr>
        <w:pStyle w:val="ListParagraph"/>
        <w:numPr>
          <w:ilvl w:val="1"/>
          <w:numId w:val="25"/>
        </w:numPr>
        <w:spacing w:after="60"/>
        <w:ind w:left="993" w:hanging="426"/>
        <w:rPr>
          <w:noProof/>
          <w:lang w:eastAsia="en-AU"/>
        </w:rPr>
      </w:pPr>
      <w:r>
        <w:rPr>
          <w:noProof/>
          <w:lang w:eastAsia="en-AU"/>
        </w:rPr>
        <w:t>particular people who are receiving care or treatment under the Act detained in an ATF</w:t>
      </w:r>
    </w:p>
    <w:p w14:paraId="6AB87C3A" w14:textId="77777777" w:rsidR="00D73183" w:rsidRDefault="00D73183" w:rsidP="00D73183">
      <w:pPr>
        <w:pStyle w:val="ListParagraph"/>
        <w:numPr>
          <w:ilvl w:val="1"/>
          <w:numId w:val="25"/>
        </w:numPr>
        <w:spacing w:after="60"/>
        <w:ind w:left="993" w:hanging="426"/>
        <w:rPr>
          <w:noProof/>
          <w:lang w:eastAsia="en-AU"/>
        </w:rPr>
      </w:pPr>
      <w:r>
        <w:rPr>
          <w:noProof/>
          <w:lang w:eastAsia="en-AU"/>
        </w:rPr>
        <w:t>particular patients of an ATF, in any part of the ATF (e.g. inclusive of emergency departments)</w:t>
      </w:r>
    </w:p>
    <w:p w14:paraId="42829F00" w14:textId="77777777" w:rsidR="00D73183" w:rsidRDefault="00D73183" w:rsidP="00D73183">
      <w:pPr>
        <w:pStyle w:val="ListParagraph"/>
        <w:numPr>
          <w:ilvl w:val="1"/>
          <w:numId w:val="25"/>
        </w:numPr>
        <w:spacing w:after="60"/>
        <w:ind w:left="993" w:hanging="426"/>
        <w:rPr>
          <w:noProof/>
          <w:lang w:eastAsia="en-AU"/>
        </w:rPr>
      </w:pPr>
      <w:r>
        <w:rPr>
          <w:noProof/>
          <w:lang w:eastAsia="en-AU"/>
        </w:rPr>
        <w:t>involuntary patients on admission or entry to a high security unit or an ATF</w:t>
      </w:r>
    </w:p>
    <w:p w14:paraId="281AAC5A" w14:textId="77777777" w:rsidR="00D73183" w:rsidRDefault="00D73183" w:rsidP="00D73183">
      <w:pPr>
        <w:pStyle w:val="ListParagraph"/>
        <w:numPr>
          <w:ilvl w:val="1"/>
          <w:numId w:val="25"/>
        </w:numPr>
        <w:spacing w:after="60"/>
        <w:ind w:left="993" w:hanging="426"/>
        <w:rPr>
          <w:noProof/>
          <w:lang w:eastAsia="en-AU"/>
        </w:rPr>
      </w:pPr>
      <w:r>
        <w:rPr>
          <w:noProof/>
          <w:lang w:eastAsia="en-AU"/>
        </w:rPr>
        <w:t xml:space="preserve">particular </w:t>
      </w:r>
      <w:r w:rsidRPr="00554090">
        <w:rPr>
          <w:noProof/>
          <w:lang w:eastAsia="en-AU"/>
        </w:rPr>
        <w:t>patients</w:t>
      </w:r>
      <w:r>
        <w:rPr>
          <w:noProof/>
          <w:lang w:eastAsia="en-AU"/>
        </w:rPr>
        <w:t>’</w:t>
      </w:r>
      <w:r w:rsidRPr="00554090">
        <w:rPr>
          <w:noProof/>
          <w:lang w:eastAsia="en-AU"/>
        </w:rPr>
        <w:t xml:space="preserve"> belongings and/or </w:t>
      </w:r>
      <w:r>
        <w:rPr>
          <w:noProof/>
          <w:lang w:eastAsia="en-AU"/>
        </w:rPr>
        <w:t>accomodation on ward</w:t>
      </w:r>
    </w:p>
    <w:p w14:paraId="2252BB02" w14:textId="77777777" w:rsidR="00D73183" w:rsidRDefault="00D73183" w:rsidP="00D73183">
      <w:pPr>
        <w:pStyle w:val="ListParagraph"/>
        <w:numPr>
          <w:ilvl w:val="1"/>
          <w:numId w:val="25"/>
        </w:numPr>
        <w:spacing w:after="60"/>
        <w:ind w:left="993" w:hanging="426"/>
        <w:rPr>
          <w:noProof/>
          <w:lang w:eastAsia="en-AU"/>
        </w:rPr>
      </w:pPr>
      <w:r>
        <w:rPr>
          <w:noProof/>
          <w:lang w:eastAsia="en-AU"/>
        </w:rPr>
        <w:t xml:space="preserve">patient visitors’ belongings on entry to a high security unit or an ATF </w:t>
      </w:r>
    </w:p>
    <w:p w14:paraId="5ADD0C0C" w14:textId="77777777" w:rsidR="00D73183" w:rsidRDefault="00D73183" w:rsidP="00D73183">
      <w:pPr>
        <w:pStyle w:val="ListParagraph"/>
        <w:numPr>
          <w:ilvl w:val="1"/>
          <w:numId w:val="25"/>
        </w:numPr>
        <w:spacing w:after="60"/>
        <w:ind w:left="993" w:hanging="426"/>
        <w:rPr>
          <w:noProof/>
          <w:lang w:eastAsia="en-AU"/>
        </w:rPr>
      </w:pPr>
      <w:r>
        <w:rPr>
          <w:noProof/>
          <w:lang w:eastAsia="en-AU"/>
        </w:rPr>
        <w:t>posted items received at an ATF for:</w:t>
      </w:r>
    </w:p>
    <w:p w14:paraId="6D241DC5" w14:textId="77777777" w:rsidR="00D73183" w:rsidRDefault="00D73183" w:rsidP="00D73183">
      <w:pPr>
        <w:pStyle w:val="ListParagraph"/>
        <w:numPr>
          <w:ilvl w:val="2"/>
          <w:numId w:val="28"/>
        </w:numPr>
        <w:spacing w:after="60"/>
        <w:ind w:left="1701" w:hanging="567"/>
        <w:rPr>
          <w:noProof/>
          <w:lang w:eastAsia="en-AU"/>
        </w:rPr>
      </w:pPr>
      <w:r>
        <w:rPr>
          <w:noProof/>
          <w:lang w:eastAsia="en-AU"/>
        </w:rPr>
        <w:t xml:space="preserve">an involuntary patient; or </w:t>
      </w:r>
    </w:p>
    <w:p w14:paraId="1D97009C" w14:textId="77777777" w:rsidR="00D73183" w:rsidRDefault="00D73183" w:rsidP="00D73183">
      <w:pPr>
        <w:pStyle w:val="ListParagraph"/>
        <w:numPr>
          <w:ilvl w:val="2"/>
          <w:numId w:val="28"/>
        </w:numPr>
        <w:spacing w:after="60"/>
        <w:ind w:left="1701" w:hanging="567"/>
        <w:rPr>
          <w:noProof/>
          <w:lang w:eastAsia="en-AU"/>
        </w:rPr>
      </w:pPr>
      <w:r>
        <w:rPr>
          <w:noProof/>
          <w:lang w:eastAsia="en-AU"/>
        </w:rPr>
        <w:t>a voluntary patient receiving treatment in the ATF.</w:t>
      </w:r>
    </w:p>
    <w:p w14:paraId="44FF25D5" w14:textId="77777777" w:rsidR="00D73183" w:rsidRDefault="00D73183" w:rsidP="00D73183">
      <w:pPr>
        <w:pStyle w:val="ListParagraph"/>
        <w:numPr>
          <w:ilvl w:val="0"/>
          <w:numId w:val="25"/>
        </w:numPr>
        <w:rPr>
          <w:noProof/>
          <w:lang w:eastAsia="en-AU"/>
        </w:rPr>
      </w:pPr>
      <w:r>
        <w:rPr>
          <w:noProof/>
          <w:lang w:eastAsia="en-AU"/>
        </w:rPr>
        <w:t xml:space="preserve">All patients are to have their belongings searched and recorded on admission and people presenting to the ATF for assessment. </w:t>
      </w:r>
    </w:p>
    <w:p w14:paraId="0B5B28F6" w14:textId="77777777" w:rsidR="00D73183" w:rsidRDefault="00D73183" w:rsidP="00D73183">
      <w:pPr>
        <w:pStyle w:val="ListParagraph"/>
        <w:numPr>
          <w:ilvl w:val="0"/>
          <w:numId w:val="25"/>
        </w:numPr>
        <w:rPr>
          <w:noProof/>
          <w:lang w:eastAsia="en-AU"/>
        </w:rPr>
      </w:pPr>
      <w:r>
        <w:rPr>
          <w:noProof/>
          <w:lang w:eastAsia="en-AU"/>
        </w:rPr>
        <w:t xml:space="preserve">Patients may </w:t>
      </w:r>
      <w:r w:rsidRPr="008C66C5">
        <w:rPr>
          <w:noProof/>
          <w:lang w:eastAsia="en-AU"/>
        </w:rPr>
        <w:t xml:space="preserve">have their belongings searched and recorded </w:t>
      </w:r>
      <w:r>
        <w:rPr>
          <w:noProof/>
          <w:lang w:eastAsia="en-AU"/>
        </w:rPr>
        <w:t>when they return from any leave.</w:t>
      </w:r>
    </w:p>
    <w:p w14:paraId="433F0AE8" w14:textId="77777777" w:rsidR="00D73183" w:rsidRPr="002821EA" w:rsidRDefault="00D73183" w:rsidP="00D73183">
      <w:pPr>
        <w:pStyle w:val="ListParagraph"/>
        <w:numPr>
          <w:ilvl w:val="0"/>
          <w:numId w:val="25"/>
        </w:numPr>
        <w:rPr>
          <w:noProof/>
          <w:lang w:eastAsia="en-AU"/>
        </w:rPr>
      </w:pPr>
      <w:r>
        <w:rPr>
          <w:noProof/>
          <w:lang w:eastAsia="en-AU"/>
        </w:rPr>
        <w:t xml:space="preserve">A search may be undertaken when there is reasonable concern that a patient has dangerous items in their possession which may be used to cause harm to themselves and or others e.g. weapons or medications. </w:t>
      </w:r>
      <w:r w:rsidRPr="002821EA">
        <w:rPr>
          <w:noProof/>
          <w:lang w:eastAsia="en-AU"/>
        </w:rPr>
        <w:t xml:space="preserve">Searches </w:t>
      </w:r>
      <w:r>
        <w:rPr>
          <w:noProof/>
          <w:lang w:eastAsia="en-AU"/>
        </w:rPr>
        <w:t>are to</w:t>
      </w:r>
      <w:r w:rsidRPr="002821EA">
        <w:rPr>
          <w:noProof/>
          <w:lang w:eastAsia="en-AU"/>
        </w:rPr>
        <w:t xml:space="preserve"> be conducted in accordance with this approved procedure.</w:t>
      </w:r>
    </w:p>
    <w:p w14:paraId="64924031" w14:textId="77777777" w:rsidR="00D73183" w:rsidRDefault="00D73183" w:rsidP="00D73183">
      <w:pPr>
        <w:pStyle w:val="ListParagraph"/>
        <w:numPr>
          <w:ilvl w:val="0"/>
          <w:numId w:val="25"/>
        </w:numPr>
        <w:rPr>
          <w:noProof/>
          <w:lang w:eastAsia="en-AU"/>
        </w:rPr>
      </w:pPr>
      <w:r>
        <w:rPr>
          <w:noProof/>
          <w:lang w:eastAsia="en-AU"/>
        </w:rPr>
        <w:t>Where a search is required the least restrictive option is used to conduct the search.</w:t>
      </w:r>
    </w:p>
    <w:p w14:paraId="59B596CE" w14:textId="77777777" w:rsidR="00D73183" w:rsidRDefault="00D73183" w:rsidP="00D73183">
      <w:pPr>
        <w:pStyle w:val="ListParagraph"/>
        <w:numPr>
          <w:ilvl w:val="0"/>
          <w:numId w:val="25"/>
        </w:numPr>
        <w:rPr>
          <w:noProof/>
          <w:lang w:eastAsia="en-AU"/>
        </w:rPr>
      </w:pPr>
      <w:r>
        <w:rPr>
          <w:noProof/>
          <w:lang w:eastAsia="en-AU"/>
        </w:rPr>
        <w:t>Staff members are to take universal precautions when conducting searches.</w:t>
      </w:r>
    </w:p>
    <w:p w14:paraId="2667321B" w14:textId="77777777" w:rsidR="00D73183" w:rsidRDefault="00D73183" w:rsidP="00D73183">
      <w:pPr>
        <w:pStyle w:val="ListParagraph"/>
        <w:numPr>
          <w:ilvl w:val="0"/>
          <w:numId w:val="25"/>
        </w:numPr>
        <w:rPr>
          <w:noProof/>
          <w:lang w:eastAsia="en-AU"/>
        </w:rPr>
      </w:pPr>
      <w:r>
        <w:rPr>
          <w:noProof/>
          <w:lang w:eastAsia="en-AU"/>
        </w:rPr>
        <w:t>A metal detector may be used as a search option.</w:t>
      </w:r>
    </w:p>
    <w:p w14:paraId="5FFA0468" w14:textId="77777777" w:rsidR="00D73183" w:rsidRDefault="00D73183" w:rsidP="00D73183">
      <w:pPr>
        <w:pStyle w:val="ListParagraph"/>
        <w:numPr>
          <w:ilvl w:val="0"/>
          <w:numId w:val="25"/>
        </w:numPr>
        <w:spacing w:after="60"/>
        <w:rPr>
          <w:noProof/>
          <w:lang w:eastAsia="en-AU"/>
        </w:rPr>
      </w:pPr>
      <w:r>
        <w:rPr>
          <w:noProof/>
          <w:lang w:eastAsia="en-AU"/>
        </w:rPr>
        <w:lastRenderedPageBreak/>
        <w:t>For personal searches, the person undertaking the search must be the same gender as the person.</w:t>
      </w:r>
    </w:p>
    <w:p w14:paraId="1587F861" w14:textId="77777777" w:rsidR="00D73183" w:rsidRDefault="00D73183" w:rsidP="00D73183">
      <w:pPr>
        <w:pStyle w:val="ListParagraph"/>
        <w:numPr>
          <w:ilvl w:val="0"/>
          <w:numId w:val="25"/>
        </w:numPr>
        <w:rPr>
          <w:noProof/>
          <w:lang w:eastAsia="en-AU"/>
        </w:rPr>
      </w:pPr>
      <w:r>
        <w:rPr>
          <w:noProof/>
          <w:lang w:eastAsia="en-AU"/>
        </w:rPr>
        <w:t>For searches requiring the removal of clothing, the search must be carried out by at least two persons of the same gender as the person.</w:t>
      </w:r>
      <w:r w:rsidRPr="00EA1CCB">
        <w:t xml:space="preserve"> </w:t>
      </w:r>
      <w:r>
        <w:rPr>
          <w:noProof/>
          <w:lang w:eastAsia="en-AU"/>
        </w:rPr>
        <w:t>The person should be allowed to remain partially clothed, if reasonably practicable, during the search and the search must be carried out as quickly as practicable with the person allowed to dress as soon as the search is finished.</w:t>
      </w:r>
    </w:p>
    <w:p w14:paraId="1C50589D" w14:textId="77777777" w:rsidR="00D73183" w:rsidRDefault="00D73183" w:rsidP="00D73183">
      <w:pPr>
        <w:pStyle w:val="ListParagraph"/>
        <w:numPr>
          <w:ilvl w:val="0"/>
          <w:numId w:val="25"/>
        </w:numPr>
        <w:rPr>
          <w:noProof/>
          <w:lang w:eastAsia="en-AU"/>
        </w:rPr>
      </w:pPr>
      <w:r>
        <w:rPr>
          <w:noProof/>
          <w:lang w:eastAsia="en-AU"/>
        </w:rPr>
        <w:t>Searches must be carried out in an area that ensures the person’s privacy and in a way that respects the person’s dignity to the greatest possible extent, and with as little embarassment and inconvenience to the person as practicable.</w:t>
      </w:r>
    </w:p>
    <w:p w14:paraId="51643B6D" w14:textId="77777777" w:rsidR="00D73183" w:rsidRDefault="00D73183" w:rsidP="00D73183">
      <w:pPr>
        <w:pStyle w:val="ListParagraph"/>
        <w:numPr>
          <w:ilvl w:val="0"/>
          <w:numId w:val="25"/>
        </w:numPr>
        <w:rPr>
          <w:noProof/>
          <w:lang w:eastAsia="en-AU"/>
        </w:rPr>
      </w:pPr>
      <w:r>
        <w:rPr>
          <w:noProof/>
          <w:lang w:eastAsia="en-AU"/>
        </w:rPr>
        <w:t>Under no circumstances is a cavity search to be conducted by staff.</w:t>
      </w:r>
    </w:p>
    <w:p w14:paraId="0D48ADE0" w14:textId="77BC621A" w:rsidR="00D73183" w:rsidRDefault="00D73183" w:rsidP="00D73183">
      <w:pPr>
        <w:pStyle w:val="ListParagraph"/>
        <w:numPr>
          <w:ilvl w:val="0"/>
          <w:numId w:val="25"/>
        </w:numPr>
        <w:rPr>
          <w:noProof/>
          <w:lang w:eastAsia="en-AU"/>
        </w:rPr>
      </w:pPr>
      <w:r>
        <w:rPr>
          <w:noProof/>
          <w:lang w:eastAsia="en-AU"/>
        </w:rPr>
        <w:t>Staff are to consider the patient’s cultural background, possible history of physical or sexual abuse, rights, privacy and dignity when conducting a search.</w:t>
      </w:r>
    </w:p>
    <w:p w14:paraId="110C8426" w14:textId="3FCD65F6" w:rsidR="00D67A81" w:rsidRDefault="00D67A81" w:rsidP="00DF5A05">
      <w:pPr>
        <w:pStyle w:val="ListParagraph"/>
        <w:numPr>
          <w:ilvl w:val="1"/>
          <w:numId w:val="25"/>
        </w:numPr>
        <w:ind w:left="993"/>
        <w:rPr>
          <w:noProof/>
          <w:lang w:eastAsia="en-AU"/>
        </w:rPr>
      </w:pPr>
      <w:r>
        <w:rPr>
          <w:noProof/>
          <w:lang w:eastAsia="en-AU"/>
        </w:rPr>
        <w:t xml:space="preserve">The patient is allowed to request </w:t>
      </w:r>
      <w:r w:rsidR="00F03D81">
        <w:rPr>
          <w:noProof/>
          <w:lang w:eastAsia="en-AU"/>
        </w:rPr>
        <w:t xml:space="preserve">the search be conducted by different staff members due to their cultural, sexual or spiritual background. This request is required to be approved by the APP or SRN on duty. </w:t>
      </w:r>
      <w:r w:rsidR="00242461">
        <w:rPr>
          <w:noProof/>
          <w:lang w:eastAsia="en-AU"/>
        </w:rPr>
        <w:t xml:space="preserve">If deemed not appropriate or practicable the search is required to be conducted by staff of the same gender. </w:t>
      </w:r>
    </w:p>
    <w:p w14:paraId="384325B8" w14:textId="77777777" w:rsidR="00D73183" w:rsidRDefault="00D73183" w:rsidP="00D73183">
      <w:pPr>
        <w:pStyle w:val="ListParagraph"/>
        <w:numPr>
          <w:ilvl w:val="0"/>
          <w:numId w:val="25"/>
        </w:numPr>
        <w:rPr>
          <w:noProof/>
          <w:lang w:eastAsia="en-AU"/>
        </w:rPr>
      </w:pPr>
      <w:r>
        <w:rPr>
          <w:noProof/>
          <w:lang w:eastAsia="en-AU"/>
        </w:rPr>
        <w:t>Where possible and appropriate, an Aboriginal Mental Health Liaison Officer of the same gender should be present when conducting searches for Aboriginal patients.</w:t>
      </w:r>
    </w:p>
    <w:p w14:paraId="030AD84B" w14:textId="0DE042B2" w:rsidR="00D73183" w:rsidRDefault="00D73183" w:rsidP="00D73183">
      <w:pPr>
        <w:pStyle w:val="ListParagraph"/>
        <w:numPr>
          <w:ilvl w:val="0"/>
          <w:numId w:val="25"/>
        </w:numPr>
        <w:rPr>
          <w:noProof/>
          <w:lang w:eastAsia="en-AU"/>
        </w:rPr>
      </w:pPr>
      <w:r>
        <w:rPr>
          <w:noProof/>
          <w:lang w:eastAsia="en-AU"/>
        </w:rPr>
        <w:t>For all patients, including those of Aboriginal descent and Culturally and Linguistically Diverse (CALD) backgrounds, understanding of searches should be facilitated where appropriate by:</w:t>
      </w:r>
    </w:p>
    <w:p w14:paraId="52185D8F" w14:textId="77777777" w:rsidR="00D73183" w:rsidRDefault="00D73183" w:rsidP="00D73183">
      <w:pPr>
        <w:pStyle w:val="ListParagraph"/>
        <w:numPr>
          <w:ilvl w:val="0"/>
          <w:numId w:val="26"/>
        </w:numPr>
        <w:spacing w:before="60" w:after="60"/>
        <w:rPr>
          <w:noProof/>
          <w:lang w:eastAsia="en-AU"/>
        </w:rPr>
      </w:pPr>
      <w:r>
        <w:rPr>
          <w:noProof/>
          <w:lang w:eastAsia="en-AU"/>
        </w:rPr>
        <w:t>utilising leaflets/signs;</w:t>
      </w:r>
    </w:p>
    <w:p w14:paraId="0BCA0627" w14:textId="77777777" w:rsidR="00D73183" w:rsidRDefault="00D73183" w:rsidP="00D73183">
      <w:pPr>
        <w:pStyle w:val="ListParagraph"/>
        <w:numPr>
          <w:ilvl w:val="0"/>
          <w:numId w:val="26"/>
        </w:numPr>
        <w:spacing w:before="60" w:after="60"/>
        <w:rPr>
          <w:noProof/>
          <w:lang w:eastAsia="en-AU"/>
        </w:rPr>
      </w:pPr>
      <w:r>
        <w:rPr>
          <w:noProof/>
          <w:lang w:eastAsia="en-AU"/>
        </w:rPr>
        <w:t>involvement of an Aboriginal Mental Health Liaison Officer;</w:t>
      </w:r>
    </w:p>
    <w:p w14:paraId="605AD06C" w14:textId="77777777" w:rsidR="00D73183" w:rsidRDefault="00D73183" w:rsidP="00D73183">
      <w:pPr>
        <w:pStyle w:val="ListParagraph"/>
        <w:numPr>
          <w:ilvl w:val="0"/>
          <w:numId w:val="26"/>
        </w:numPr>
        <w:spacing w:before="60" w:after="60"/>
        <w:rPr>
          <w:noProof/>
          <w:lang w:eastAsia="en-AU"/>
        </w:rPr>
      </w:pPr>
      <w:r>
        <w:rPr>
          <w:noProof/>
          <w:lang w:eastAsia="en-AU"/>
        </w:rPr>
        <w:t>using approved interpreter service; and/or</w:t>
      </w:r>
    </w:p>
    <w:p w14:paraId="16FA994D" w14:textId="77777777" w:rsidR="00D73183" w:rsidRDefault="00D73183" w:rsidP="00D73183">
      <w:pPr>
        <w:pStyle w:val="ListParagraph"/>
        <w:numPr>
          <w:ilvl w:val="0"/>
          <w:numId w:val="26"/>
        </w:numPr>
        <w:spacing w:before="60" w:after="60"/>
        <w:rPr>
          <w:noProof/>
          <w:lang w:eastAsia="en-AU"/>
        </w:rPr>
      </w:pPr>
      <w:r>
        <w:rPr>
          <w:noProof/>
          <w:lang w:eastAsia="en-AU"/>
        </w:rPr>
        <w:t>involvement of a carer, close family member or other personal support person.</w:t>
      </w:r>
    </w:p>
    <w:p w14:paraId="26D7DF30" w14:textId="1345A2BC" w:rsidR="00D73183" w:rsidRDefault="00D73183" w:rsidP="00A43AF0">
      <w:pPr>
        <w:pStyle w:val="Heading1"/>
        <w:rPr>
          <w:noProof/>
          <w:lang w:eastAsia="en-AU"/>
        </w:rPr>
      </w:pPr>
      <w:bookmarkStart w:id="9" w:name="_Toc133239116"/>
      <w:r>
        <w:rPr>
          <w:noProof/>
          <w:lang w:eastAsia="en-AU"/>
        </w:rPr>
        <w:t>Procedure</w:t>
      </w:r>
      <w:bookmarkEnd w:id="9"/>
    </w:p>
    <w:p w14:paraId="429A0177" w14:textId="77777777" w:rsidR="00D73183" w:rsidRDefault="00D73183" w:rsidP="00A43AF0">
      <w:pPr>
        <w:pStyle w:val="Heading2"/>
      </w:pPr>
      <w:bookmarkStart w:id="10" w:name="_Toc133239117"/>
      <w:r w:rsidRPr="00A43AF0">
        <w:t>Education</w:t>
      </w:r>
      <w:r>
        <w:t xml:space="preserve"> and training</w:t>
      </w:r>
      <w:bookmarkEnd w:id="10"/>
    </w:p>
    <w:p w14:paraId="29370195" w14:textId="77777777" w:rsidR="00D73183" w:rsidRDefault="00D73183" w:rsidP="00D73183">
      <w:pPr>
        <w:rPr>
          <w:noProof/>
        </w:rPr>
      </w:pPr>
      <w:r>
        <w:rPr>
          <w:noProof/>
        </w:rPr>
        <w:t>The person in charge of mental health facilities is to ensure that staff who undertake searches are to be appropriately trained. Training is to include the following:</w:t>
      </w:r>
    </w:p>
    <w:p w14:paraId="3E447251" w14:textId="77777777" w:rsidR="00D73183" w:rsidRDefault="00D73183" w:rsidP="00D73183">
      <w:pPr>
        <w:pStyle w:val="ListParagraph"/>
        <w:numPr>
          <w:ilvl w:val="0"/>
          <w:numId w:val="30"/>
        </w:numPr>
        <w:spacing w:before="60" w:after="60"/>
        <w:rPr>
          <w:noProof/>
        </w:rPr>
      </w:pPr>
      <w:r w:rsidRPr="00E41297">
        <w:rPr>
          <w:noProof/>
        </w:rPr>
        <w:t>preparing for search and seizure</w:t>
      </w:r>
      <w:r>
        <w:rPr>
          <w:noProof/>
        </w:rPr>
        <w:t xml:space="preserve"> (including authority to search and seize)</w:t>
      </w:r>
      <w:r w:rsidRPr="00E41297">
        <w:rPr>
          <w:noProof/>
        </w:rPr>
        <w:t xml:space="preserve"> </w:t>
      </w:r>
    </w:p>
    <w:p w14:paraId="62E26850" w14:textId="77777777" w:rsidR="00D73183" w:rsidRDefault="00D73183" w:rsidP="00D73183">
      <w:pPr>
        <w:pStyle w:val="ListParagraph"/>
        <w:numPr>
          <w:ilvl w:val="0"/>
          <w:numId w:val="30"/>
        </w:numPr>
        <w:spacing w:before="60" w:after="60"/>
        <w:rPr>
          <w:noProof/>
        </w:rPr>
      </w:pPr>
      <w:r w:rsidRPr="00E41297">
        <w:rPr>
          <w:noProof/>
        </w:rPr>
        <w:t xml:space="preserve">implementing the search </w:t>
      </w:r>
    </w:p>
    <w:p w14:paraId="22C8AB91" w14:textId="77777777" w:rsidR="00D73183" w:rsidRDefault="00D73183" w:rsidP="00D73183">
      <w:pPr>
        <w:pStyle w:val="ListParagraph"/>
        <w:numPr>
          <w:ilvl w:val="0"/>
          <w:numId w:val="30"/>
        </w:numPr>
        <w:spacing w:before="60" w:after="60"/>
        <w:rPr>
          <w:noProof/>
        </w:rPr>
      </w:pPr>
      <w:r w:rsidRPr="00E41297">
        <w:rPr>
          <w:noProof/>
        </w:rPr>
        <w:t xml:space="preserve">conducting the seizure </w:t>
      </w:r>
    </w:p>
    <w:p w14:paraId="076A9FBD" w14:textId="77777777" w:rsidR="00D73183" w:rsidRDefault="00D73183" w:rsidP="00D73183">
      <w:pPr>
        <w:pStyle w:val="ListParagraph"/>
        <w:numPr>
          <w:ilvl w:val="0"/>
          <w:numId w:val="30"/>
        </w:numPr>
        <w:spacing w:before="60" w:after="60"/>
        <w:rPr>
          <w:noProof/>
        </w:rPr>
      </w:pPr>
      <w:r w:rsidRPr="00E41297">
        <w:rPr>
          <w:noProof/>
        </w:rPr>
        <w:t>completing post-search activities</w:t>
      </w:r>
    </w:p>
    <w:p w14:paraId="207EC2C5" w14:textId="77777777" w:rsidR="00D73183" w:rsidRDefault="00D73183" w:rsidP="00D73183">
      <w:pPr>
        <w:pStyle w:val="ListParagraph"/>
        <w:numPr>
          <w:ilvl w:val="0"/>
          <w:numId w:val="30"/>
        </w:numPr>
        <w:spacing w:before="60" w:after="60"/>
        <w:rPr>
          <w:noProof/>
        </w:rPr>
      </w:pPr>
      <w:r w:rsidRPr="00E41297">
        <w:rPr>
          <w:noProof/>
        </w:rPr>
        <w:t>debriefing</w:t>
      </w:r>
    </w:p>
    <w:p w14:paraId="3A02C061" w14:textId="77777777" w:rsidR="00D73183" w:rsidRDefault="00D73183" w:rsidP="00A43AF0">
      <w:pPr>
        <w:pStyle w:val="Heading2"/>
      </w:pPr>
      <w:bookmarkStart w:id="11" w:name="_Toc133239118"/>
      <w:r>
        <w:t>Decision to search</w:t>
      </w:r>
      <w:bookmarkEnd w:id="11"/>
    </w:p>
    <w:p w14:paraId="169B27A7" w14:textId="77777777" w:rsidR="00D73183" w:rsidRDefault="00D73183" w:rsidP="00D73183">
      <w:pPr>
        <w:rPr>
          <w:noProof/>
          <w:lang w:eastAsia="en-AU"/>
        </w:rPr>
      </w:pPr>
      <w:r>
        <w:rPr>
          <w:noProof/>
          <w:lang w:eastAsia="en-AU"/>
        </w:rPr>
        <w:t>Personal searches or searches that require the removal of a person’s clothing must be authorised by the authorised psychiatric practitioner (APP) or senior registered nurse (RN) on duty; informing them of the reasons for the need to conduct a search. Two staff members at a minimum, must be present where a search is conducted, one staff member must be the same gender as the patient.</w:t>
      </w:r>
      <w:r w:rsidRPr="00A50E94">
        <w:t xml:space="preserve"> </w:t>
      </w:r>
      <w:r w:rsidRPr="00A50E94">
        <w:rPr>
          <w:noProof/>
          <w:lang w:eastAsia="en-AU"/>
        </w:rPr>
        <w:t xml:space="preserve">For searches requiring the removal of clothing, the search must be carried out by at least two </w:t>
      </w:r>
      <w:r>
        <w:rPr>
          <w:noProof/>
          <w:lang w:eastAsia="en-AU"/>
        </w:rPr>
        <w:t>staff</w:t>
      </w:r>
      <w:r w:rsidRPr="00A50E94">
        <w:rPr>
          <w:noProof/>
          <w:lang w:eastAsia="en-AU"/>
        </w:rPr>
        <w:t xml:space="preserve"> of the same gender as the person.</w:t>
      </w:r>
    </w:p>
    <w:p w14:paraId="594CE00C" w14:textId="77777777" w:rsidR="00D73183" w:rsidRDefault="00D73183" w:rsidP="00D73183">
      <w:pPr>
        <w:rPr>
          <w:noProof/>
          <w:lang w:eastAsia="en-AU"/>
        </w:rPr>
      </w:pPr>
      <w:r>
        <w:rPr>
          <w:noProof/>
          <w:lang w:eastAsia="en-AU"/>
        </w:rPr>
        <w:lastRenderedPageBreak/>
        <w:t>The d</w:t>
      </w:r>
      <w:r w:rsidRPr="00CE604B">
        <w:rPr>
          <w:noProof/>
          <w:lang w:eastAsia="en-AU"/>
        </w:rPr>
        <w:t>ecision to search and the type of search must be commensurate with identified risks, and should be the least restrictive possible in the circumstances, taking into account the particular vulnerabilities of the person</w:t>
      </w:r>
      <w:r>
        <w:rPr>
          <w:noProof/>
          <w:lang w:eastAsia="en-AU"/>
        </w:rPr>
        <w:t>,</w:t>
      </w:r>
      <w:r w:rsidRPr="00CE604B">
        <w:rPr>
          <w:noProof/>
          <w:lang w:eastAsia="en-AU"/>
        </w:rPr>
        <w:t xml:space="preserve"> for example: </w:t>
      </w:r>
      <w:r>
        <w:rPr>
          <w:noProof/>
          <w:lang w:eastAsia="en-AU"/>
        </w:rPr>
        <w:t xml:space="preserve">their </w:t>
      </w:r>
      <w:r w:rsidRPr="00CE604B">
        <w:rPr>
          <w:noProof/>
          <w:lang w:eastAsia="en-AU"/>
        </w:rPr>
        <w:t>age, gender, sexuality and cultural background.</w:t>
      </w:r>
    </w:p>
    <w:p w14:paraId="753C16E8" w14:textId="77777777" w:rsidR="00D73183" w:rsidRDefault="00D73183" w:rsidP="00A43AF0">
      <w:pPr>
        <w:pStyle w:val="Heading2"/>
      </w:pPr>
      <w:bookmarkStart w:id="12" w:name="_Toc133239119"/>
      <w:r w:rsidRPr="005E2975">
        <w:t>Patient consent to conduct search</w:t>
      </w:r>
      <w:bookmarkEnd w:id="12"/>
    </w:p>
    <w:p w14:paraId="1D47A75D" w14:textId="77777777" w:rsidR="00D73183" w:rsidRDefault="00D73183" w:rsidP="00D73183">
      <w:pPr>
        <w:rPr>
          <w:noProof/>
          <w:lang w:eastAsia="en-AU"/>
        </w:rPr>
      </w:pPr>
      <w:r>
        <w:rPr>
          <w:noProof/>
          <w:lang w:eastAsia="en-AU"/>
        </w:rPr>
        <w:t xml:space="preserve">All patients must be presumed to have capacity to give informed consent unless it can be demonstrated that the person lacks capacity at the time the decision needs to be made. </w:t>
      </w:r>
    </w:p>
    <w:p w14:paraId="60EC4F9C" w14:textId="77777777" w:rsidR="00D73183" w:rsidRDefault="00D73183" w:rsidP="00D73183">
      <w:pPr>
        <w:rPr>
          <w:noProof/>
          <w:lang w:eastAsia="en-AU"/>
        </w:rPr>
      </w:pPr>
      <w:r>
        <w:rPr>
          <w:noProof/>
          <w:lang w:eastAsia="en-AU"/>
        </w:rPr>
        <w:t xml:space="preserve">Clinical staff have the authority to search a patient’s clothing and belongings if the patient gives informed consent to a search in circumstances where the patient is capable of giving informed consent. </w:t>
      </w:r>
    </w:p>
    <w:p w14:paraId="64B6EFAF" w14:textId="77777777" w:rsidR="00D73183" w:rsidRDefault="00D73183" w:rsidP="00D73183">
      <w:pPr>
        <w:rPr>
          <w:noProof/>
          <w:lang w:eastAsia="en-AU"/>
        </w:rPr>
      </w:pPr>
      <w:r>
        <w:rPr>
          <w:noProof/>
          <w:lang w:eastAsia="en-AU"/>
        </w:rPr>
        <w:t>Where the patient does not consent to a search, the search must not occur unless there is a lawful reason.</w:t>
      </w:r>
    </w:p>
    <w:p w14:paraId="5915E883" w14:textId="77777777" w:rsidR="00D73183" w:rsidRDefault="00D73183" w:rsidP="00D73183">
      <w:pPr>
        <w:rPr>
          <w:noProof/>
          <w:lang w:eastAsia="en-AU"/>
        </w:rPr>
      </w:pPr>
      <w:r>
        <w:rPr>
          <w:noProof/>
          <w:lang w:eastAsia="en-AU"/>
        </w:rPr>
        <w:t>Prior to conducting any search, s</w:t>
      </w:r>
      <w:r w:rsidRPr="009218BA">
        <w:rPr>
          <w:noProof/>
          <w:lang w:eastAsia="en-AU"/>
        </w:rPr>
        <w:t>taff must seek consent from the p</w:t>
      </w:r>
      <w:r>
        <w:rPr>
          <w:noProof/>
          <w:lang w:eastAsia="en-AU"/>
        </w:rPr>
        <w:t>erson</w:t>
      </w:r>
      <w:r w:rsidRPr="009218BA">
        <w:rPr>
          <w:noProof/>
          <w:lang w:eastAsia="en-AU"/>
        </w:rPr>
        <w:t xml:space="preserve">. </w:t>
      </w:r>
    </w:p>
    <w:p w14:paraId="3885BE8F" w14:textId="77777777" w:rsidR="00D73183" w:rsidRDefault="00D73183" w:rsidP="00D73183">
      <w:pPr>
        <w:rPr>
          <w:noProof/>
          <w:lang w:eastAsia="en-AU"/>
        </w:rPr>
      </w:pPr>
      <w:r>
        <w:rPr>
          <w:noProof/>
          <w:lang w:eastAsia="en-AU"/>
        </w:rPr>
        <w:t>W</w:t>
      </w:r>
      <w:r w:rsidRPr="009218BA">
        <w:rPr>
          <w:noProof/>
          <w:lang w:eastAsia="en-AU"/>
        </w:rPr>
        <w:t>here staff are unable to obtain consent to conduct the search</w:t>
      </w:r>
      <w:r>
        <w:rPr>
          <w:noProof/>
          <w:lang w:eastAsia="en-AU"/>
        </w:rPr>
        <w:t>, the authorised psychiatric practitioner (APP) or senior registered nurse (RN) on duty</w:t>
      </w:r>
      <w:r w:rsidRPr="009218BA">
        <w:rPr>
          <w:noProof/>
          <w:lang w:eastAsia="en-AU"/>
        </w:rPr>
        <w:t xml:space="preserve"> </w:t>
      </w:r>
      <w:r w:rsidRPr="002F32B8">
        <w:rPr>
          <w:noProof/>
          <w:lang w:eastAsia="en-AU"/>
        </w:rPr>
        <w:t xml:space="preserve">may </w:t>
      </w:r>
      <w:r>
        <w:rPr>
          <w:noProof/>
          <w:lang w:eastAsia="en-AU"/>
        </w:rPr>
        <w:t>authorise</w:t>
      </w:r>
      <w:r w:rsidRPr="002F32B8">
        <w:rPr>
          <w:noProof/>
          <w:lang w:eastAsia="en-AU"/>
        </w:rPr>
        <w:t xml:space="preserve"> the </w:t>
      </w:r>
      <w:r>
        <w:rPr>
          <w:noProof/>
          <w:lang w:eastAsia="en-AU"/>
        </w:rPr>
        <w:t xml:space="preserve">use of </w:t>
      </w:r>
      <w:r w:rsidRPr="002F32B8">
        <w:rPr>
          <w:noProof/>
          <w:lang w:eastAsia="en-AU"/>
        </w:rPr>
        <w:t xml:space="preserve">assistance </w:t>
      </w:r>
      <w:r>
        <w:rPr>
          <w:noProof/>
          <w:lang w:eastAsia="en-AU"/>
        </w:rPr>
        <w:t>by</w:t>
      </w:r>
      <w:r w:rsidRPr="002F32B8">
        <w:rPr>
          <w:noProof/>
          <w:lang w:eastAsia="en-AU"/>
        </w:rPr>
        <w:t xml:space="preserve"> security staff or safety officers </w:t>
      </w:r>
      <w:r>
        <w:rPr>
          <w:noProof/>
          <w:lang w:eastAsia="en-AU"/>
        </w:rPr>
        <w:t xml:space="preserve">if they </w:t>
      </w:r>
      <w:r w:rsidRPr="009218BA">
        <w:rPr>
          <w:noProof/>
          <w:lang w:eastAsia="en-AU"/>
        </w:rPr>
        <w:t>have reasonable suspicion</w:t>
      </w:r>
      <w:r>
        <w:rPr>
          <w:noProof/>
          <w:lang w:eastAsia="en-AU"/>
        </w:rPr>
        <w:t xml:space="preserve"> that the patient</w:t>
      </w:r>
      <w:r w:rsidRPr="009218BA">
        <w:rPr>
          <w:noProof/>
          <w:lang w:eastAsia="en-AU"/>
        </w:rPr>
        <w:t>:</w:t>
      </w:r>
    </w:p>
    <w:p w14:paraId="7DEC4D09" w14:textId="77777777" w:rsidR="00D73183" w:rsidRDefault="00D73183" w:rsidP="00D73183">
      <w:pPr>
        <w:pStyle w:val="ListParagraph"/>
        <w:numPr>
          <w:ilvl w:val="0"/>
          <w:numId w:val="24"/>
        </w:numPr>
        <w:rPr>
          <w:noProof/>
          <w:lang w:eastAsia="en-AU"/>
        </w:rPr>
      </w:pPr>
      <w:r>
        <w:rPr>
          <w:noProof/>
          <w:lang w:eastAsia="en-AU"/>
        </w:rPr>
        <w:t xml:space="preserve">has illicit drugs in their possession; </w:t>
      </w:r>
    </w:p>
    <w:p w14:paraId="6D545158" w14:textId="77777777" w:rsidR="00D73183" w:rsidRDefault="00D73183" w:rsidP="00D73183">
      <w:pPr>
        <w:pStyle w:val="ListParagraph"/>
        <w:numPr>
          <w:ilvl w:val="0"/>
          <w:numId w:val="24"/>
        </w:numPr>
        <w:rPr>
          <w:noProof/>
          <w:lang w:eastAsia="en-AU"/>
        </w:rPr>
      </w:pPr>
      <w:r>
        <w:rPr>
          <w:noProof/>
          <w:lang w:eastAsia="en-AU"/>
        </w:rPr>
        <w:t>is committing an offence;</w:t>
      </w:r>
    </w:p>
    <w:p w14:paraId="56C19F91" w14:textId="77777777" w:rsidR="00D73183" w:rsidRDefault="00D73183" w:rsidP="00D73183">
      <w:pPr>
        <w:pStyle w:val="ListParagraph"/>
        <w:numPr>
          <w:ilvl w:val="0"/>
          <w:numId w:val="24"/>
        </w:numPr>
        <w:rPr>
          <w:noProof/>
          <w:lang w:eastAsia="en-AU"/>
        </w:rPr>
      </w:pPr>
      <w:r>
        <w:rPr>
          <w:noProof/>
          <w:lang w:eastAsia="en-AU"/>
        </w:rPr>
        <w:t>is carrying a weapon relating to an offence; and/or</w:t>
      </w:r>
    </w:p>
    <w:p w14:paraId="5D136E97" w14:textId="77777777" w:rsidR="00D73183" w:rsidRDefault="00D73183" w:rsidP="00D73183">
      <w:pPr>
        <w:pStyle w:val="ListParagraph"/>
        <w:numPr>
          <w:ilvl w:val="0"/>
          <w:numId w:val="24"/>
        </w:numPr>
        <w:rPr>
          <w:noProof/>
          <w:lang w:eastAsia="en-AU"/>
        </w:rPr>
      </w:pPr>
      <w:r>
        <w:rPr>
          <w:noProof/>
          <w:lang w:eastAsia="en-AU"/>
        </w:rPr>
        <w:t>is carrying something that will afford evidence of the commission of an offence.</w:t>
      </w:r>
    </w:p>
    <w:p w14:paraId="4D868CCB" w14:textId="77777777" w:rsidR="00D73183" w:rsidRDefault="00D73183" w:rsidP="00D73183">
      <w:pPr>
        <w:rPr>
          <w:noProof/>
          <w:lang w:eastAsia="en-AU"/>
        </w:rPr>
      </w:pPr>
      <w:r>
        <w:rPr>
          <w:noProof/>
          <w:lang w:eastAsia="en-AU"/>
        </w:rPr>
        <w:t>T</w:t>
      </w:r>
      <w:r w:rsidRPr="002747AC">
        <w:rPr>
          <w:noProof/>
          <w:lang w:eastAsia="en-AU"/>
        </w:rPr>
        <w:t xml:space="preserve">he patient must be notified of the intention to involve </w:t>
      </w:r>
      <w:r>
        <w:rPr>
          <w:noProof/>
          <w:lang w:eastAsia="en-AU"/>
        </w:rPr>
        <w:t>security staff</w:t>
      </w:r>
      <w:r w:rsidRPr="002747AC">
        <w:rPr>
          <w:noProof/>
          <w:lang w:eastAsia="en-AU"/>
        </w:rPr>
        <w:t xml:space="preserve"> in a</w:t>
      </w:r>
      <w:r>
        <w:rPr>
          <w:noProof/>
          <w:lang w:eastAsia="en-AU"/>
        </w:rPr>
        <w:t xml:space="preserve"> search.</w:t>
      </w:r>
    </w:p>
    <w:p w14:paraId="3DD41DD7" w14:textId="77777777" w:rsidR="00D73183" w:rsidRDefault="00D73183" w:rsidP="00D73183">
      <w:pPr>
        <w:rPr>
          <w:noProof/>
          <w:lang w:eastAsia="en-AU"/>
        </w:rPr>
      </w:pPr>
      <w:r>
        <w:rPr>
          <w:noProof/>
          <w:lang w:eastAsia="en-AU"/>
        </w:rPr>
        <w:t xml:space="preserve">Accordingly, if the person is accompanied by a police escort, police may be used to assist in the search of a person where consent can not be obtained. </w:t>
      </w:r>
    </w:p>
    <w:p w14:paraId="0D898FA2" w14:textId="77777777" w:rsidR="00D73183" w:rsidRDefault="00D73183" w:rsidP="00A43AF0">
      <w:pPr>
        <w:pStyle w:val="Heading2"/>
      </w:pPr>
      <w:bookmarkStart w:id="13" w:name="_Toc133239120"/>
      <w:r>
        <w:t>C</w:t>
      </w:r>
      <w:r w:rsidRPr="003E6DA0">
        <w:t>onduct</w:t>
      </w:r>
      <w:r>
        <w:t xml:space="preserve">ing the </w:t>
      </w:r>
      <w:r w:rsidRPr="003E6DA0">
        <w:t>search</w:t>
      </w:r>
      <w:bookmarkEnd w:id="13"/>
    </w:p>
    <w:p w14:paraId="7157FB1D" w14:textId="77777777" w:rsidR="00D73183" w:rsidRDefault="00D73183" w:rsidP="00D73183">
      <w:pPr>
        <w:rPr>
          <w:noProof/>
          <w:lang w:eastAsia="en-AU"/>
        </w:rPr>
      </w:pPr>
      <w:r w:rsidRPr="001E6148">
        <w:rPr>
          <w:noProof/>
          <w:lang w:eastAsia="en-AU"/>
        </w:rPr>
        <w:t>Taking into consideration least restrictive options, where a search is required</w:t>
      </w:r>
      <w:r>
        <w:rPr>
          <w:noProof/>
          <w:lang w:eastAsia="en-AU"/>
        </w:rPr>
        <w:t>,</w:t>
      </w:r>
      <w:r w:rsidRPr="001E6148">
        <w:rPr>
          <w:noProof/>
          <w:lang w:eastAsia="en-AU"/>
        </w:rPr>
        <w:t xml:space="preserve"> staff are to</w:t>
      </w:r>
      <w:r>
        <w:rPr>
          <w:noProof/>
          <w:lang w:eastAsia="en-AU"/>
        </w:rPr>
        <w:t>:</w:t>
      </w:r>
    </w:p>
    <w:p w14:paraId="57496964" w14:textId="77777777" w:rsidR="00D73183" w:rsidRDefault="00D73183" w:rsidP="00D73183">
      <w:pPr>
        <w:pStyle w:val="ListParagraph"/>
        <w:numPr>
          <w:ilvl w:val="0"/>
          <w:numId w:val="27"/>
        </w:numPr>
        <w:spacing w:before="60" w:after="60"/>
        <w:rPr>
          <w:noProof/>
          <w:lang w:eastAsia="en-AU"/>
        </w:rPr>
      </w:pPr>
      <w:r>
        <w:rPr>
          <w:noProof/>
          <w:lang w:eastAsia="en-AU"/>
        </w:rPr>
        <w:t xml:space="preserve">Where possible, explain to the patient the reason(s) why the search is being done. </w:t>
      </w:r>
    </w:p>
    <w:p w14:paraId="365D03DC" w14:textId="77777777" w:rsidR="00D73183" w:rsidRDefault="00D73183" w:rsidP="00D73183">
      <w:pPr>
        <w:pStyle w:val="ListParagraph"/>
        <w:numPr>
          <w:ilvl w:val="0"/>
          <w:numId w:val="27"/>
        </w:numPr>
        <w:spacing w:before="60" w:after="60"/>
        <w:rPr>
          <w:noProof/>
          <w:lang w:eastAsia="en-AU"/>
        </w:rPr>
      </w:pPr>
      <w:r>
        <w:rPr>
          <w:noProof/>
          <w:lang w:eastAsia="en-AU"/>
        </w:rPr>
        <w:t xml:space="preserve">Encourage that patient to conduct a self-search with staff present e.g. turn out pockets, relinquish dangerous items, open mouth to show contents. </w:t>
      </w:r>
    </w:p>
    <w:p w14:paraId="2969E34B" w14:textId="77777777" w:rsidR="00D73183" w:rsidRDefault="00D73183" w:rsidP="00D73183">
      <w:pPr>
        <w:pStyle w:val="ListParagraph"/>
        <w:numPr>
          <w:ilvl w:val="0"/>
          <w:numId w:val="27"/>
        </w:numPr>
        <w:spacing w:before="60" w:after="60"/>
        <w:rPr>
          <w:noProof/>
          <w:lang w:eastAsia="en-AU"/>
        </w:rPr>
      </w:pPr>
      <w:r>
        <w:rPr>
          <w:noProof/>
          <w:lang w:eastAsia="en-AU"/>
        </w:rPr>
        <w:t xml:space="preserve">Avoid touching the patient unnecessarily. </w:t>
      </w:r>
    </w:p>
    <w:p w14:paraId="5E417BF3" w14:textId="77777777" w:rsidR="00D73183" w:rsidRDefault="00D73183" w:rsidP="00D73183">
      <w:pPr>
        <w:pStyle w:val="ListParagraph"/>
        <w:numPr>
          <w:ilvl w:val="0"/>
          <w:numId w:val="27"/>
        </w:numPr>
        <w:spacing w:before="60" w:after="60"/>
        <w:rPr>
          <w:noProof/>
          <w:lang w:eastAsia="en-AU"/>
        </w:rPr>
      </w:pPr>
      <w:r>
        <w:rPr>
          <w:noProof/>
          <w:lang w:eastAsia="en-AU"/>
        </w:rPr>
        <w:t xml:space="preserve">As far as possible, ensure that the patient is present when a search of their belongings and or accomodation on ward is being conducted </w:t>
      </w:r>
    </w:p>
    <w:p w14:paraId="113D12F7" w14:textId="77777777" w:rsidR="00D73183" w:rsidRDefault="00D73183" w:rsidP="00D73183">
      <w:pPr>
        <w:pStyle w:val="ListParagraph"/>
        <w:numPr>
          <w:ilvl w:val="0"/>
          <w:numId w:val="27"/>
        </w:numPr>
        <w:spacing w:before="60" w:after="60"/>
        <w:rPr>
          <w:noProof/>
          <w:lang w:eastAsia="en-AU"/>
        </w:rPr>
      </w:pPr>
      <w:r>
        <w:rPr>
          <w:noProof/>
          <w:lang w:eastAsia="en-AU"/>
        </w:rPr>
        <w:t xml:space="preserve">Request that the patient change into alternative clothing. Removed </w:t>
      </w:r>
      <w:r w:rsidRPr="001E6148">
        <w:rPr>
          <w:noProof/>
          <w:lang w:eastAsia="en-AU"/>
        </w:rPr>
        <w:t>clothing is then checked for dangerous items.</w:t>
      </w:r>
    </w:p>
    <w:p w14:paraId="6F0D409B" w14:textId="77777777" w:rsidR="00D73183" w:rsidRDefault="00D73183" w:rsidP="00A43AF0">
      <w:pPr>
        <w:pStyle w:val="Heading2"/>
      </w:pPr>
      <w:bookmarkStart w:id="14" w:name="_Toc133239121"/>
      <w:r w:rsidRPr="00EF23A5">
        <w:t xml:space="preserve">Patients admitted to </w:t>
      </w:r>
      <w:r>
        <w:t>a</w:t>
      </w:r>
      <w:r w:rsidRPr="00EF23A5">
        <w:t xml:space="preserve"> </w:t>
      </w:r>
      <w:r>
        <w:t>high dependency unit</w:t>
      </w:r>
      <w:bookmarkEnd w:id="14"/>
    </w:p>
    <w:p w14:paraId="6A7460F5" w14:textId="77777777" w:rsidR="00D73183" w:rsidRPr="00541D84" w:rsidRDefault="00D73183" w:rsidP="00D73183">
      <w:pPr>
        <w:rPr>
          <w:noProof/>
          <w:lang w:eastAsia="en-AU"/>
        </w:rPr>
      </w:pPr>
      <w:r w:rsidRPr="00EF23A5">
        <w:rPr>
          <w:noProof/>
          <w:lang w:eastAsia="en-AU"/>
        </w:rPr>
        <w:t xml:space="preserve">All patients who are admitted to </w:t>
      </w:r>
      <w:r w:rsidRPr="005216EB">
        <w:rPr>
          <w:noProof/>
          <w:lang w:eastAsia="en-AU"/>
        </w:rPr>
        <w:t>a high dependency unit</w:t>
      </w:r>
      <w:r>
        <w:rPr>
          <w:noProof/>
          <w:lang w:eastAsia="en-AU"/>
        </w:rPr>
        <w:t xml:space="preserve"> under the provisions of the Act</w:t>
      </w:r>
      <w:r w:rsidRPr="00EF23A5">
        <w:rPr>
          <w:noProof/>
          <w:lang w:eastAsia="en-AU"/>
        </w:rPr>
        <w:t xml:space="preserve"> are to have their clothing and</w:t>
      </w:r>
      <w:r>
        <w:rPr>
          <w:noProof/>
          <w:lang w:eastAsia="en-AU"/>
        </w:rPr>
        <w:t xml:space="preserve"> property searched for dangerous items. Suitable clothing and personal items such as photographs will be available for the patient in their accommodation and all other items are to be recorded and placed in the patient property store</w:t>
      </w:r>
      <w:r w:rsidRPr="00541D84">
        <w:rPr>
          <w:noProof/>
          <w:lang w:eastAsia="en-AU"/>
        </w:rPr>
        <w:t>.</w:t>
      </w:r>
    </w:p>
    <w:p w14:paraId="0DB89184" w14:textId="77777777" w:rsidR="00D73183" w:rsidRDefault="00D73183" w:rsidP="00A43AF0">
      <w:pPr>
        <w:pStyle w:val="Heading2"/>
      </w:pPr>
      <w:bookmarkStart w:id="15" w:name="_Toc133239122"/>
      <w:r>
        <w:lastRenderedPageBreak/>
        <w:t>Patient visitors</w:t>
      </w:r>
      <w:bookmarkEnd w:id="15"/>
    </w:p>
    <w:p w14:paraId="7CB327C0" w14:textId="77777777" w:rsidR="00D73183" w:rsidRDefault="00D73183" w:rsidP="00D73183">
      <w:pPr>
        <w:rPr>
          <w:noProof/>
          <w:lang w:eastAsia="en-AU"/>
        </w:rPr>
      </w:pPr>
      <w:r>
        <w:rPr>
          <w:noProof/>
          <w:lang w:eastAsia="en-AU"/>
        </w:rPr>
        <w:t xml:space="preserve">The ATF may develop policies concerning the </w:t>
      </w:r>
      <w:r w:rsidRPr="00541D84">
        <w:rPr>
          <w:noProof/>
          <w:lang w:eastAsia="en-AU"/>
        </w:rPr>
        <w:t>restrict</w:t>
      </w:r>
      <w:r>
        <w:rPr>
          <w:noProof/>
          <w:lang w:eastAsia="en-AU"/>
        </w:rPr>
        <w:t xml:space="preserve">ion of </w:t>
      </w:r>
      <w:r w:rsidRPr="00541D84">
        <w:rPr>
          <w:noProof/>
          <w:lang w:eastAsia="en-AU"/>
        </w:rPr>
        <w:t xml:space="preserve">unsuitable items </w:t>
      </w:r>
      <w:r>
        <w:rPr>
          <w:noProof/>
          <w:lang w:eastAsia="en-AU"/>
        </w:rPr>
        <w:t>being taken into</w:t>
      </w:r>
      <w:r w:rsidRPr="00541D84">
        <w:rPr>
          <w:noProof/>
          <w:lang w:eastAsia="en-AU"/>
        </w:rPr>
        <w:t xml:space="preserve"> </w:t>
      </w:r>
      <w:r>
        <w:rPr>
          <w:noProof/>
          <w:lang w:eastAsia="en-AU"/>
        </w:rPr>
        <w:t xml:space="preserve">a high dependency </w:t>
      </w:r>
      <w:r w:rsidRPr="00541D84">
        <w:rPr>
          <w:noProof/>
          <w:lang w:eastAsia="en-AU"/>
        </w:rPr>
        <w:t>unit</w:t>
      </w:r>
      <w:r>
        <w:rPr>
          <w:noProof/>
          <w:lang w:eastAsia="en-AU"/>
        </w:rPr>
        <w:t xml:space="preserve"> and the search of visitors’ possessions only (i.e. not personal searched of visitors)</w:t>
      </w:r>
      <w:r w:rsidRPr="00541D84">
        <w:rPr>
          <w:noProof/>
          <w:lang w:eastAsia="en-AU"/>
        </w:rPr>
        <w:t>.</w:t>
      </w:r>
    </w:p>
    <w:p w14:paraId="0008F6CD" w14:textId="77777777" w:rsidR="00D73183" w:rsidRDefault="00D73183" w:rsidP="00A43AF0">
      <w:pPr>
        <w:pStyle w:val="Heading2"/>
      </w:pPr>
      <w:bookmarkStart w:id="16" w:name="_Toc133239123"/>
      <w:r>
        <w:t>Seizing items and their return</w:t>
      </w:r>
      <w:bookmarkEnd w:id="16"/>
    </w:p>
    <w:p w14:paraId="72F0C84C" w14:textId="77777777" w:rsidR="00D73183" w:rsidRPr="00276FC1" w:rsidRDefault="00D73183" w:rsidP="00D73183">
      <w:pPr>
        <w:rPr>
          <w:lang w:eastAsia="en-AU"/>
        </w:rPr>
      </w:pPr>
      <w:r>
        <w:rPr>
          <w:lang w:eastAsia="en-AU"/>
        </w:rPr>
        <w:t>Illicit substances are to be removed from the person, stored securely and appropriately and provided to police at the first opportunity.</w:t>
      </w:r>
    </w:p>
    <w:p w14:paraId="1A4103CC" w14:textId="77777777" w:rsidR="00D73183" w:rsidRDefault="00D73183" w:rsidP="00D73183">
      <w:r>
        <w:rPr>
          <w:lang w:eastAsia="en-AU"/>
        </w:rPr>
        <w:t xml:space="preserve">Other items seized during the search, remain the property of the person that they have been removed from, including weapons. Under the </w:t>
      </w:r>
      <w:r w:rsidRPr="00EE510B">
        <w:rPr>
          <w:i/>
          <w:lang w:eastAsia="en-AU"/>
        </w:rPr>
        <w:t>Weapons Control Act 2001</w:t>
      </w:r>
      <w:r>
        <w:rPr>
          <w:lang w:eastAsia="en-AU"/>
        </w:rPr>
        <w:t xml:space="preserve">, weapons may be returned to the lawful owner when appropriate or upon exit from the facility. Seized weapons can only be forfeited by order of the Court (refer to </w:t>
      </w:r>
      <w:r>
        <w:t>sections 20-22).</w:t>
      </w:r>
    </w:p>
    <w:p w14:paraId="4B3B77DC" w14:textId="77777777" w:rsidR="00D73183" w:rsidRDefault="00D73183" w:rsidP="00D73183">
      <w:r>
        <w:t xml:space="preserve">Where there is a concern that the person should not be in possession of a particular firearm (i.e. an illegal firearm) or firearms in general, section 101 of the </w:t>
      </w:r>
      <w:r w:rsidRPr="0051624A">
        <w:rPr>
          <w:i/>
        </w:rPr>
        <w:t>Firearms Act 1997</w:t>
      </w:r>
      <w:r>
        <w:t xml:space="preserve"> requires health practitioners to make a report to police. </w:t>
      </w:r>
    </w:p>
    <w:p w14:paraId="43720917" w14:textId="77777777" w:rsidR="00D73183" w:rsidRDefault="00D73183" w:rsidP="00D73183">
      <w:r>
        <w:t xml:space="preserve">For the purpose of this section of the </w:t>
      </w:r>
      <w:r w:rsidRPr="002333EB">
        <w:rPr>
          <w:i/>
        </w:rPr>
        <w:t>Firearms Act 1997</w:t>
      </w:r>
      <w:r>
        <w:t xml:space="preserve">, a health professional is defined as a person registered under the Health Practitioner Regulation National Law to practise in a health profession, other than a diagnostic radiographer or a student. In addition to health practitioners, the reporting requirements of the </w:t>
      </w:r>
      <w:r w:rsidRPr="009936CE">
        <w:rPr>
          <w:i/>
        </w:rPr>
        <w:t>Firearms Act 1997</w:t>
      </w:r>
      <w:r>
        <w:t xml:space="preserve"> also apply to professional counsellors and social workers.</w:t>
      </w:r>
    </w:p>
    <w:p w14:paraId="08D38CDA" w14:textId="77777777" w:rsidR="00D73183" w:rsidRPr="00276FC1" w:rsidRDefault="00D73183" w:rsidP="00D73183">
      <w:pPr>
        <w:rPr>
          <w:lang w:eastAsia="en-AU"/>
        </w:rPr>
      </w:pPr>
      <w:r>
        <w:t xml:space="preserve">For more information refer to </w:t>
      </w:r>
      <w:r w:rsidRPr="00A26189">
        <w:t>Mandatory Reporting by Health Professionals</w:t>
      </w:r>
      <w:r>
        <w:t xml:space="preserve">, which is available from </w:t>
      </w:r>
      <w:hyperlink r:id="rId14" w:history="1">
        <w:r w:rsidRPr="00C114F9">
          <w:rPr>
            <w:rStyle w:val="Hyperlink"/>
          </w:rPr>
          <w:t>http://www.pfes.nt.gov.au/file/download/35819</w:t>
        </w:r>
      </w:hyperlink>
    </w:p>
    <w:p w14:paraId="36CF4456" w14:textId="77777777" w:rsidR="00D73183" w:rsidRDefault="00D73183" w:rsidP="00A43AF0">
      <w:pPr>
        <w:pStyle w:val="Heading2"/>
      </w:pPr>
      <w:bookmarkStart w:id="17" w:name="_Toc133239124"/>
      <w:r>
        <w:t>Documentation</w:t>
      </w:r>
      <w:bookmarkEnd w:id="17"/>
    </w:p>
    <w:p w14:paraId="487D7979" w14:textId="77777777" w:rsidR="00D73183" w:rsidRDefault="00D73183" w:rsidP="00D73183">
      <w:pPr>
        <w:rPr>
          <w:noProof/>
          <w:lang w:eastAsia="en-AU"/>
        </w:rPr>
      </w:pPr>
      <w:r>
        <w:rPr>
          <w:noProof/>
          <w:lang w:eastAsia="en-AU"/>
        </w:rPr>
        <w:t xml:space="preserve">All searches must be clearly documented in the patient’s record, including the reason(s) why the search was required. </w:t>
      </w:r>
    </w:p>
    <w:p w14:paraId="10A9F5D2" w14:textId="77777777" w:rsidR="00D73183" w:rsidRDefault="00D73183" w:rsidP="00D73183">
      <w:pPr>
        <w:rPr>
          <w:noProof/>
          <w:lang w:eastAsia="en-AU"/>
        </w:rPr>
      </w:pPr>
      <w:r>
        <w:rPr>
          <w:noProof/>
          <w:lang w:eastAsia="en-AU"/>
        </w:rPr>
        <w:t xml:space="preserve">The staff member who searches the patient must complete </w:t>
      </w:r>
      <w:r w:rsidRPr="001D321C">
        <w:rPr>
          <w:noProof/>
          <w:lang w:eastAsia="en-AU"/>
        </w:rPr>
        <w:t>Form 64 - Search and Seizure</w:t>
      </w:r>
      <w:r w:rsidRPr="00541D84">
        <w:rPr>
          <w:noProof/>
          <w:lang w:eastAsia="en-AU"/>
        </w:rPr>
        <w:t xml:space="preserve"> </w:t>
      </w:r>
      <w:r>
        <w:rPr>
          <w:noProof/>
          <w:lang w:eastAsia="en-AU"/>
        </w:rPr>
        <w:t xml:space="preserve">Record </w:t>
      </w:r>
      <w:r w:rsidRPr="00541D84">
        <w:rPr>
          <w:noProof/>
          <w:lang w:eastAsia="en-AU"/>
        </w:rPr>
        <w:t>and follow the checklist on the back of the form.</w:t>
      </w:r>
    </w:p>
    <w:p w14:paraId="63482B1D" w14:textId="77777777" w:rsidR="00D73183" w:rsidRDefault="00D73183" w:rsidP="00D73183">
      <w:pPr>
        <w:rPr>
          <w:noProof/>
          <w:lang w:eastAsia="en-AU"/>
        </w:rPr>
      </w:pPr>
      <w:r w:rsidRPr="00493664">
        <w:rPr>
          <w:noProof/>
          <w:lang w:eastAsia="en-AU"/>
        </w:rPr>
        <w:t xml:space="preserve">A staff member who seizes any item must complete </w:t>
      </w:r>
      <w:r w:rsidRPr="001D321C">
        <w:rPr>
          <w:noProof/>
          <w:lang w:eastAsia="en-AU"/>
        </w:rPr>
        <w:t>Form 65 - Seized Item</w:t>
      </w:r>
      <w:r>
        <w:rPr>
          <w:noProof/>
          <w:lang w:eastAsia="en-AU"/>
        </w:rPr>
        <w:t xml:space="preserve"> Record</w:t>
      </w:r>
      <w:r w:rsidRPr="00250576">
        <w:rPr>
          <w:noProof/>
          <w:lang w:eastAsia="en-AU"/>
        </w:rPr>
        <w:t xml:space="preserve"> and file the form in the patient</w:t>
      </w:r>
      <w:r>
        <w:rPr>
          <w:noProof/>
          <w:lang w:eastAsia="en-AU"/>
        </w:rPr>
        <w:t xml:space="preserve"> </w:t>
      </w:r>
      <w:r w:rsidRPr="00250576">
        <w:rPr>
          <w:noProof/>
          <w:lang w:eastAsia="en-AU"/>
        </w:rPr>
        <w:t>health record.</w:t>
      </w:r>
    </w:p>
    <w:p w14:paraId="62AAEFB8" w14:textId="77777777" w:rsidR="00D73183" w:rsidRDefault="00D73183" w:rsidP="00A43AF0">
      <w:pPr>
        <w:pStyle w:val="Heading2"/>
      </w:pPr>
      <w:bookmarkStart w:id="18" w:name="_Toc133239125"/>
      <w:r>
        <w:t>Register</w:t>
      </w:r>
      <w:bookmarkEnd w:id="18"/>
    </w:p>
    <w:p w14:paraId="52BB4D2B" w14:textId="77777777" w:rsidR="00D73183" w:rsidRDefault="00D73183" w:rsidP="00D73183">
      <w:pPr>
        <w:rPr>
          <w:lang w:eastAsia="en-AU"/>
        </w:rPr>
      </w:pPr>
      <w:r>
        <w:rPr>
          <w:lang w:eastAsia="en-AU"/>
        </w:rPr>
        <w:t>A register is to be kept at each facility, which includes;</w:t>
      </w:r>
    </w:p>
    <w:p w14:paraId="768C56F7" w14:textId="77777777" w:rsidR="00D73183" w:rsidRDefault="00D73183" w:rsidP="00D73183">
      <w:pPr>
        <w:pStyle w:val="ListParagraph"/>
        <w:numPr>
          <w:ilvl w:val="0"/>
          <w:numId w:val="31"/>
        </w:numPr>
        <w:spacing w:before="60" w:after="60"/>
        <w:rPr>
          <w:lang w:eastAsia="en-AU"/>
        </w:rPr>
      </w:pPr>
      <w:r>
        <w:rPr>
          <w:lang w:eastAsia="en-AU"/>
        </w:rPr>
        <w:t>a separate entry for each search</w:t>
      </w:r>
    </w:p>
    <w:p w14:paraId="00F1349A" w14:textId="77777777" w:rsidR="00D73183" w:rsidRDefault="00D73183" w:rsidP="00D73183">
      <w:pPr>
        <w:pStyle w:val="ListParagraph"/>
        <w:numPr>
          <w:ilvl w:val="0"/>
          <w:numId w:val="31"/>
        </w:numPr>
        <w:spacing w:before="60" w:after="60"/>
        <w:rPr>
          <w:lang w:eastAsia="en-AU"/>
        </w:rPr>
      </w:pPr>
      <w:r>
        <w:rPr>
          <w:lang w:eastAsia="en-AU"/>
        </w:rPr>
        <w:t>incident number (where search is part of a reportable incident)</w:t>
      </w:r>
    </w:p>
    <w:p w14:paraId="407B9697" w14:textId="77777777" w:rsidR="00D73183" w:rsidRDefault="00D73183" w:rsidP="00D73183">
      <w:pPr>
        <w:pStyle w:val="ListParagraph"/>
        <w:numPr>
          <w:ilvl w:val="0"/>
          <w:numId w:val="31"/>
        </w:numPr>
        <w:spacing w:before="60" w:after="60"/>
        <w:rPr>
          <w:lang w:eastAsia="en-AU"/>
        </w:rPr>
      </w:pPr>
      <w:r>
        <w:rPr>
          <w:lang w:eastAsia="en-AU"/>
        </w:rPr>
        <w:t>details of the person being searched, including identification of Aboriginal people</w:t>
      </w:r>
    </w:p>
    <w:p w14:paraId="604D03DC" w14:textId="77777777" w:rsidR="00D73183" w:rsidRDefault="00D73183" w:rsidP="00D73183">
      <w:pPr>
        <w:pStyle w:val="ListParagraph"/>
        <w:numPr>
          <w:ilvl w:val="0"/>
          <w:numId w:val="31"/>
        </w:numPr>
        <w:spacing w:before="60" w:after="60"/>
        <w:rPr>
          <w:lang w:eastAsia="en-AU"/>
        </w:rPr>
      </w:pPr>
      <w:r>
        <w:rPr>
          <w:lang w:eastAsia="en-AU"/>
        </w:rPr>
        <w:t>the reasons why the person was searched</w:t>
      </w:r>
    </w:p>
    <w:p w14:paraId="0599EE89" w14:textId="77777777" w:rsidR="00D73183" w:rsidRDefault="00D73183" w:rsidP="00D73183">
      <w:pPr>
        <w:pStyle w:val="ListParagraph"/>
        <w:numPr>
          <w:ilvl w:val="0"/>
          <w:numId w:val="31"/>
        </w:numPr>
        <w:spacing w:before="60" w:after="60"/>
        <w:rPr>
          <w:lang w:eastAsia="en-AU"/>
        </w:rPr>
      </w:pPr>
      <w:r>
        <w:rPr>
          <w:lang w:eastAsia="en-AU"/>
        </w:rPr>
        <w:t>date of search</w:t>
      </w:r>
    </w:p>
    <w:p w14:paraId="7D60A88D" w14:textId="77777777" w:rsidR="00D73183" w:rsidRDefault="00D73183" w:rsidP="00D73183">
      <w:pPr>
        <w:pStyle w:val="ListParagraph"/>
        <w:numPr>
          <w:ilvl w:val="0"/>
          <w:numId w:val="31"/>
        </w:numPr>
        <w:spacing w:before="60" w:after="60"/>
        <w:rPr>
          <w:lang w:eastAsia="en-AU"/>
        </w:rPr>
      </w:pPr>
      <w:r>
        <w:rPr>
          <w:lang w:eastAsia="en-AU"/>
        </w:rPr>
        <w:t>the name of the person who initiated the search</w:t>
      </w:r>
    </w:p>
    <w:p w14:paraId="002F1E91" w14:textId="77777777" w:rsidR="00D73183" w:rsidRDefault="00D73183" w:rsidP="00D73183">
      <w:pPr>
        <w:pStyle w:val="ListParagraph"/>
        <w:numPr>
          <w:ilvl w:val="0"/>
          <w:numId w:val="31"/>
        </w:numPr>
        <w:spacing w:before="60" w:after="60"/>
        <w:rPr>
          <w:lang w:eastAsia="en-AU"/>
        </w:rPr>
      </w:pPr>
      <w:r>
        <w:rPr>
          <w:lang w:eastAsia="en-AU"/>
        </w:rPr>
        <w:t>the name of the person who authorised the search</w:t>
      </w:r>
    </w:p>
    <w:p w14:paraId="2AB43F2C" w14:textId="77777777" w:rsidR="00D73183" w:rsidRDefault="00D73183" w:rsidP="00D73183">
      <w:pPr>
        <w:pStyle w:val="ListParagraph"/>
        <w:numPr>
          <w:ilvl w:val="0"/>
          <w:numId w:val="31"/>
        </w:numPr>
        <w:spacing w:before="60" w:after="60"/>
        <w:rPr>
          <w:lang w:eastAsia="en-AU"/>
        </w:rPr>
      </w:pPr>
      <w:r>
        <w:rPr>
          <w:lang w:eastAsia="en-AU"/>
        </w:rPr>
        <w:lastRenderedPageBreak/>
        <w:t>type of search conducted</w:t>
      </w:r>
    </w:p>
    <w:p w14:paraId="5FE8520D" w14:textId="77777777" w:rsidR="00D73183" w:rsidRDefault="00D73183" w:rsidP="00D73183">
      <w:pPr>
        <w:pStyle w:val="ListParagraph"/>
        <w:numPr>
          <w:ilvl w:val="0"/>
          <w:numId w:val="31"/>
        </w:numPr>
        <w:spacing w:before="60" w:after="60"/>
        <w:rPr>
          <w:lang w:eastAsia="en-AU"/>
        </w:rPr>
      </w:pPr>
      <w:r>
        <w:rPr>
          <w:lang w:eastAsia="en-AU"/>
        </w:rPr>
        <w:t>time started</w:t>
      </w:r>
    </w:p>
    <w:p w14:paraId="6EA0A77E" w14:textId="77777777" w:rsidR="00D73183" w:rsidRDefault="00D73183" w:rsidP="00D73183">
      <w:pPr>
        <w:pStyle w:val="ListParagraph"/>
        <w:numPr>
          <w:ilvl w:val="0"/>
          <w:numId w:val="31"/>
        </w:numPr>
        <w:spacing w:before="60" w:after="60"/>
        <w:rPr>
          <w:lang w:eastAsia="en-AU"/>
        </w:rPr>
      </w:pPr>
      <w:r>
        <w:rPr>
          <w:lang w:eastAsia="en-AU"/>
        </w:rPr>
        <w:t>time ended.</w:t>
      </w:r>
    </w:p>
    <w:p w14:paraId="244686C2" w14:textId="77777777" w:rsidR="00D73183" w:rsidRDefault="00D73183" w:rsidP="00A43AF0">
      <w:pPr>
        <w:pStyle w:val="Heading1"/>
        <w:rPr>
          <w:noProof/>
          <w:lang w:eastAsia="en-AU"/>
        </w:rPr>
      </w:pPr>
      <w:bookmarkStart w:id="19" w:name="_Toc133239126"/>
      <w:r>
        <w:rPr>
          <w:noProof/>
          <w:lang w:eastAsia="en-AU"/>
        </w:rPr>
        <w:t>Other relevant legislation</w:t>
      </w:r>
      <w:bookmarkEnd w:id="19"/>
    </w:p>
    <w:p w14:paraId="40AC8F3A" w14:textId="77777777" w:rsidR="00D73183" w:rsidRPr="002C5D37" w:rsidRDefault="005A0313" w:rsidP="00D73183">
      <w:pPr>
        <w:rPr>
          <w:i/>
          <w:lang w:eastAsia="en-AU"/>
        </w:rPr>
      </w:pPr>
      <w:hyperlink r:id="rId15" w:history="1">
        <w:r w:rsidR="00D73183" w:rsidRPr="002332FB">
          <w:rPr>
            <w:rStyle w:val="Hyperlink"/>
            <w:i/>
            <w:lang w:eastAsia="en-AU"/>
          </w:rPr>
          <w:t>Misuse of Drugs Act 1990</w:t>
        </w:r>
      </w:hyperlink>
    </w:p>
    <w:p w14:paraId="36FF7A3D" w14:textId="77777777" w:rsidR="00D73183" w:rsidRPr="002C5D37" w:rsidRDefault="005A0313" w:rsidP="00D73183">
      <w:pPr>
        <w:rPr>
          <w:i/>
          <w:lang w:eastAsia="en-AU"/>
        </w:rPr>
      </w:pPr>
      <w:hyperlink r:id="rId16" w:history="1">
        <w:r w:rsidR="00D73183" w:rsidRPr="002332FB">
          <w:rPr>
            <w:rStyle w:val="Hyperlink"/>
            <w:i/>
            <w:lang w:eastAsia="en-AU"/>
          </w:rPr>
          <w:t>Weapons Control Act 2001</w:t>
        </w:r>
      </w:hyperlink>
    </w:p>
    <w:p w14:paraId="02014BA8" w14:textId="77777777" w:rsidR="00D73183" w:rsidRPr="002C5D37" w:rsidRDefault="005A0313" w:rsidP="00D73183">
      <w:pPr>
        <w:rPr>
          <w:i/>
          <w:lang w:eastAsia="en-AU"/>
        </w:rPr>
      </w:pPr>
      <w:hyperlink r:id="rId17" w:history="1">
        <w:r w:rsidR="00D73183" w:rsidRPr="002332FB">
          <w:rPr>
            <w:rStyle w:val="Hyperlink"/>
            <w:i/>
            <w:lang w:eastAsia="en-AU"/>
          </w:rPr>
          <w:t>Police Administration Act 1978</w:t>
        </w:r>
      </w:hyperlink>
    </w:p>
    <w:p w14:paraId="6B81CF8D" w14:textId="77777777" w:rsidR="00D73183" w:rsidRDefault="00D73183" w:rsidP="00284FCE">
      <w:pPr>
        <w:pStyle w:val="BodyHeading"/>
      </w:pPr>
      <w:bookmarkStart w:id="20" w:name="_Toc41902214"/>
      <w:bookmarkEnd w:id="3"/>
      <w:r w:rsidRPr="00DF5085">
        <w:t>Key Associated Documents</w:t>
      </w:r>
      <w:bookmarkEnd w:id="20"/>
    </w:p>
    <w:p w14:paraId="6E0456D2" w14:textId="77777777" w:rsidR="00D73183" w:rsidRPr="00774C3B" w:rsidRDefault="00D73183" w:rsidP="00D73183">
      <w:pPr>
        <w:rPr>
          <w:rStyle w:val="Hyperlink"/>
        </w:rPr>
      </w:pPr>
      <w:r w:rsidRPr="00774C3B">
        <w:t xml:space="preserve">All related material produced by the Northern Territory Department of Health is available from: </w:t>
      </w:r>
      <w:r w:rsidRPr="00774C3B">
        <w:rPr>
          <w:rStyle w:val="Hyperlink"/>
        </w:rPr>
        <w:t>https://health.nt.gov.au/professionals/mental-health-information-for-health-professional</w:t>
      </w:r>
    </w:p>
    <w:p w14:paraId="3783A735" w14:textId="77777777" w:rsidR="00D73183" w:rsidRPr="00774C3B" w:rsidRDefault="00D73183" w:rsidP="00D73183">
      <w:pPr>
        <w:spacing w:before="240"/>
        <w:rPr>
          <w:rStyle w:val="Hyperlink"/>
        </w:rPr>
      </w:pPr>
      <w:r w:rsidRPr="00774C3B">
        <w:t xml:space="preserve">Mental Health and Related Services (MHARS) Act 1998 – available from: </w:t>
      </w:r>
      <w:hyperlink r:id="rId18" w:history="1">
        <w:r w:rsidRPr="00774C3B">
          <w:rPr>
            <w:rStyle w:val="Hyperlink"/>
            <w:lang w:val="en-US" w:eastAsia="en-AU"/>
          </w:rPr>
          <w:t>https://legislation.nt.gov.au/en/LegislationPortal/Acts/By-Title#</w:t>
        </w:r>
      </w:hyperlink>
    </w:p>
    <w:p w14:paraId="50B26BE7" w14:textId="77777777" w:rsidR="00D73183" w:rsidRDefault="00D73183" w:rsidP="00D73183">
      <w:pPr>
        <w:keepNext/>
        <w:rPr>
          <w:lang w:eastAsia="en-AU"/>
        </w:rPr>
      </w:pPr>
      <w:r>
        <w:rPr>
          <w:lang w:eastAsia="en-AU"/>
        </w:rPr>
        <w:t>National Safety and Quality Health Care Standards: 1.2.2; 1.3.1; 1.5.2; 1.14.2; 1.17 .2</w:t>
      </w:r>
    </w:p>
    <w:p w14:paraId="67E259FA" w14:textId="77777777" w:rsidR="00D73183" w:rsidRDefault="00D73183" w:rsidP="00D73183">
      <w:pPr>
        <w:rPr>
          <w:lang w:eastAsia="en-AU"/>
        </w:rPr>
      </w:pPr>
      <w:r>
        <w:rPr>
          <w:lang w:eastAsia="en-AU"/>
        </w:rPr>
        <w:t xml:space="preserve">Available from - </w:t>
      </w:r>
      <w:hyperlink r:id="rId19" w:history="1">
        <w:r w:rsidRPr="00C65184">
          <w:rPr>
            <w:rStyle w:val="Hyperlink"/>
            <w:lang w:eastAsia="en-AU"/>
          </w:rPr>
          <w:t>https://www.safetyandquality.gov.au/standards/nsqhs-standards</w:t>
        </w:r>
      </w:hyperlink>
    </w:p>
    <w:p w14:paraId="71A2BC96" w14:textId="77777777" w:rsidR="00D73183" w:rsidRDefault="00D73183" w:rsidP="00D73183">
      <w:pPr>
        <w:keepNext/>
        <w:rPr>
          <w:lang w:eastAsia="en-AU"/>
        </w:rPr>
      </w:pPr>
      <w:r>
        <w:rPr>
          <w:lang w:eastAsia="en-AU"/>
        </w:rPr>
        <w:t xml:space="preserve">EQulPNational Standards: 12.3.1; 15.12.1 </w:t>
      </w:r>
    </w:p>
    <w:p w14:paraId="0B29AE7F" w14:textId="77777777" w:rsidR="00D73183" w:rsidRDefault="00D73183" w:rsidP="00D73183">
      <w:pPr>
        <w:rPr>
          <w:lang w:eastAsia="en-AU"/>
        </w:rPr>
      </w:pPr>
      <w:r>
        <w:rPr>
          <w:lang w:eastAsia="en-AU"/>
        </w:rPr>
        <w:t xml:space="preserve">Available from - </w:t>
      </w:r>
      <w:hyperlink r:id="rId20" w:history="1">
        <w:r w:rsidRPr="00C65184">
          <w:rPr>
            <w:rStyle w:val="Hyperlink"/>
            <w:lang w:eastAsia="en-AU"/>
          </w:rPr>
          <w:t>https://www.achs.org.au/programs-services/equip6/</w:t>
        </w:r>
      </w:hyperlink>
    </w:p>
    <w:p w14:paraId="5917F61B" w14:textId="77777777" w:rsidR="00D73183" w:rsidRDefault="00D73183" w:rsidP="00D73183">
      <w:pPr>
        <w:keepNext/>
        <w:rPr>
          <w:lang w:eastAsia="en-AU"/>
        </w:rPr>
      </w:pPr>
      <w:r>
        <w:rPr>
          <w:lang w:eastAsia="en-AU"/>
        </w:rPr>
        <w:t>National Standards for Mental Health Services: 1.4; 1.17; 2.1; 2.13; 8. 7; 8.10</w:t>
      </w:r>
    </w:p>
    <w:p w14:paraId="07495DF4" w14:textId="77777777" w:rsidR="00D73183" w:rsidRDefault="00D73183" w:rsidP="00D73183">
      <w:pPr>
        <w:rPr>
          <w:lang w:eastAsia="en-AU"/>
        </w:rPr>
      </w:pPr>
      <w:r>
        <w:rPr>
          <w:lang w:eastAsia="en-AU"/>
        </w:rPr>
        <w:t xml:space="preserve">Available from - </w:t>
      </w:r>
      <w:hyperlink r:id="rId21" w:history="1">
        <w:r w:rsidRPr="00C65184">
          <w:rPr>
            <w:rStyle w:val="Hyperlink"/>
            <w:lang w:eastAsia="en-AU"/>
          </w:rPr>
          <w:t>https://www.safetyandquality.gov.au/our-work/mental-health/national-standards-in-mental-health</w:t>
        </w:r>
      </w:hyperlink>
    </w:p>
    <w:p w14:paraId="24A5FB96" w14:textId="77777777" w:rsidR="00D73183" w:rsidRDefault="00D73183" w:rsidP="00D73183">
      <w:pPr>
        <w:keepNext/>
        <w:rPr>
          <w:lang w:eastAsia="en-AU"/>
        </w:rPr>
      </w:pPr>
      <w:r>
        <w:rPr>
          <w:lang w:eastAsia="en-AU"/>
        </w:rPr>
        <w:t>National Standards for Disability Services: 1 .1; 6.2</w:t>
      </w:r>
    </w:p>
    <w:p w14:paraId="0EB167D6" w14:textId="77777777" w:rsidR="00D73183" w:rsidRDefault="00D73183" w:rsidP="00D73183">
      <w:pPr>
        <w:rPr>
          <w:lang w:eastAsia="en-AU"/>
        </w:rPr>
      </w:pPr>
      <w:r>
        <w:rPr>
          <w:lang w:eastAsia="en-AU"/>
        </w:rPr>
        <w:t xml:space="preserve">Available from - </w:t>
      </w:r>
      <w:hyperlink r:id="rId22" w:history="1">
        <w:r w:rsidRPr="00C65184">
          <w:rPr>
            <w:rStyle w:val="Hyperlink"/>
            <w:lang w:eastAsia="en-AU"/>
          </w:rPr>
          <w:t>https://www.dss.gov.au/our-responsibilities/disability-and-carers/standards-and-quality-assurance/national-standards-for-disability-services</w:t>
        </w:r>
      </w:hyperlink>
    </w:p>
    <w:p w14:paraId="46E93503" w14:textId="77777777" w:rsidR="00D73183" w:rsidRDefault="00D73183" w:rsidP="00284FCE">
      <w:pPr>
        <w:pStyle w:val="BodyHeading"/>
        <w:rPr>
          <w:rFonts w:cs="Arial"/>
        </w:rPr>
      </w:pPr>
      <w:bookmarkStart w:id="21" w:name="_Toc41902215"/>
      <w:r w:rsidRPr="003A4D92">
        <w:t>Definitions and Search Terms</w:t>
      </w:r>
      <w:bookmarkEnd w:id="21"/>
    </w:p>
    <w:tbl>
      <w:tblPr>
        <w:tblStyle w:val="TableGrid1"/>
        <w:tblW w:w="5000" w:type="pct"/>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119"/>
        <w:gridCol w:w="8189"/>
      </w:tblGrid>
      <w:tr w:rsidR="00D73183" w:rsidRPr="00F750DC" w14:paraId="17A2F9C0" w14:textId="77777777" w:rsidTr="00B56C0C">
        <w:trPr>
          <w:cantSplit/>
          <w:tblHeader/>
        </w:trPr>
        <w:tc>
          <w:tcPr>
            <w:tcW w:w="1028" w:type="pct"/>
            <w:shd w:val="clear" w:color="auto" w:fill="FFFFFF" w:themeFill="background1"/>
            <w:vAlign w:val="center"/>
          </w:tcPr>
          <w:p w14:paraId="7BA39DBC" w14:textId="77777777" w:rsidR="00D73183" w:rsidRPr="00BE5A0F" w:rsidRDefault="00D73183" w:rsidP="00B56C0C">
            <w:pPr>
              <w:keepNext/>
              <w:rPr>
                <w:b/>
                <w:sz w:val="18"/>
                <w:szCs w:val="18"/>
              </w:rPr>
            </w:pPr>
            <w:r w:rsidRPr="00BE5A0F">
              <w:rPr>
                <w:b/>
                <w:sz w:val="18"/>
                <w:szCs w:val="18"/>
              </w:rPr>
              <w:t>Preferred Term</w:t>
            </w:r>
          </w:p>
        </w:tc>
        <w:tc>
          <w:tcPr>
            <w:tcW w:w="3972" w:type="pct"/>
            <w:tcBorders>
              <w:bottom w:val="single" w:sz="4" w:space="0" w:color="FFFFFF" w:themeColor="background1"/>
            </w:tcBorders>
            <w:shd w:val="clear" w:color="auto" w:fill="FFFFFF" w:themeFill="background1"/>
            <w:vAlign w:val="center"/>
          </w:tcPr>
          <w:p w14:paraId="4EE739D8" w14:textId="77777777" w:rsidR="00D73183" w:rsidRPr="00BE5A0F" w:rsidRDefault="00D73183" w:rsidP="00B56C0C">
            <w:pPr>
              <w:keepNext/>
              <w:rPr>
                <w:b/>
                <w:sz w:val="18"/>
                <w:szCs w:val="18"/>
              </w:rPr>
            </w:pPr>
            <w:r w:rsidRPr="00BE5A0F">
              <w:rPr>
                <w:b/>
                <w:sz w:val="18"/>
                <w:szCs w:val="18"/>
              </w:rPr>
              <w:t>Description</w:t>
            </w:r>
          </w:p>
        </w:tc>
      </w:tr>
      <w:tr w:rsidR="00D73183" w:rsidRPr="00F750DC" w14:paraId="055A97CE" w14:textId="77777777" w:rsidTr="00B56C0C">
        <w:trPr>
          <w:cantSplit/>
        </w:trPr>
        <w:tc>
          <w:tcPr>
            <w:tcW w:w="1028" w:type="pct"/>
            <w:shd w:val="clear" w:color="auto" w:fill="F2F2F2" w:themeFill="background1" w:themeFillShade="F2"/>
          </w:tcPr>
          <w:p w14:paraId="6253EBE7" w14:textId="77777777" w:rsidR="00D73183" w:rsidRDefault="00D73183" w:rsidP="00B56C0C">
            <w:pPr>
              <w:spacing w:before="80" w:after="80"/>
              <w:rPr>
                <w:b/>
                <w:sz w:val="18"/>
                <w:szCs w:val="18"/>
              </w:rPr>
            </w:pPr>
            <w:r>
              <w:rPr>
                <w:b/>
                <w:sz w:val="18"/>
                <w:szCs w:val="18"/>
              </w:rPr>
              <w:t>APP</w:t>
            </w:r>
          </w:p>
        </w:tc>
        <w:tc>
          <w:tcPr>
            <w:tcW w:w="3972" w:type="pct"/>
            <w:tcBorders>
              <w:bottom w:val="single" w:sz="4" w:space="0" w:color="FFFFFF" w:themeColor="background1"/>
            </w:tcBorders>
            <w:vAlign w:val="center"/>
          </w:tcPr>
          <w:p w14:paraId="488DDCC0" w14:textId="77777777" w:rsidR="00D73183" w:rsidRDefault="00D73183" w:rsidP="00B56C0C">
            <w:pPr>
              <w:spacing w:before="80" w:after="80"/>
              <w:rPr>
                <w:sz w:val="18"/>
                <w:szCs w:val="18"/>
              </w:rPr>
            </w:pPr>
            <w:r>
              <w:rPr>
                <w:sz w:val="18"/>
                <w:szCs w:val="18"/>
              </w:rPr>
              <w:t>Authorised psychiatric practitioner</w:t>
            </w:r>
          </w:p>
        </w:tc>
      </w:tr>
      <w:tr w:rsidR="00D73183" w:rsidRPr="00F750DC" w14:paraId="690BFE99" w14:textId="77777777" w:rsidTr="00B56C0C">
        <w:trPr>
          <w:cantSplit/>
        </w:trPr>
        <w:tc>
          <w:tcPr>
            <w:tcW w:w="1028" w:type="pct"/>
            <w:shd w:val="clear" w:color="auto" w:fill="F2F2F2" w:themeFill="background1" w:themeFillShade="F2"/>
          </w:tcPr>
          <w:p w14:paraId="7F7E7C72" w14:textId="77777777" w:rsidR="00D73183" w:rsidRPr="00BE5A0F" w:rsidRDefault="00D73183" w:rsidP="00B56C0C">
            <w:pPr>
              <w:spacing w:before="80" w:after="80"/>
              <w:rPr>
                <w:b/>
                <w:sz w:val="18"/>
                <w:szCs w:val="18"/>
              </w:rPr>
            </w:pPr>
            <w:r>
              <w:rPr>
                <w:b/>
                <w:sz w:val="18"/>
                <w:szCs w:val="18"/>
              </w:rPr>
              <w:t>ATF</w:t>
            </w:r>
          </w:p>
        </w:tc>
        <w:tc>
          <w:tcPr>
            <w:tcW w:w="3972" w:type="pct"/>
            <w:vAlign w:val="center"/>
          </w:tcPr>
          <w:p w14:paraId="32790D9D" w14:textId="77777777" w:rsidR="00D73183" w:rsidRPr="00BE5A0F" w:rsidRDefault="00D73183" w:rsidP="00B56C0C">
            <w:pPr>
              <w:spacing w:before="80" w:after="80"/>
              <w:rPr>
                <w:sz w:val="18"/>
                <w:szCs w:val="18"/>
              </w:rPr>
            </w:pPr>
            <w:r>
              <w:rPr>
                <w:sz w:val="18"/>
                <w:szCs w:val="18"/>
              </w:rPr>
              <w:t>Approved treatment facility</w:t>
            </w:r>
          </w:p>
        </w:tc>
      </w:tr>
      <w:tr w:rsidR="00D73183" w:rsidRPr="00F750DC" w14:paraId="7ABEB32A" w14:textId="77777777" w:rsidTr="00B56C0C">
        <w:trPr>
          <w:cantSplit/>
        </w:trPr>
        <w:tc>
          <w:tcPr>
            <w:tcW w:w="1028" w:type="pct"/>
            <w:shd w:val="clear" w:color="auto" w:fill="F2F2F2" w:themeFill="background1" w:themeFillShade="F2"/>
          </w:tcPr>
          <w:p w14:paraId="0C332720" w14:textId="77777777" w:rsidR="00D73183" w:rsidRDefault="00D73183" w:rsidP="00B56C0C">
            <w:pPr>
              <w:spacing w:before="80" w:after="80"/>
              <w:rPr>
                <w:b/>
                <w:sz w:val="18"/>
                <w:szCs w:val="18"/>
              </w:rPr>
            </w:pPr>
            <w:r w:rsidRPr="00DD01A9">
              <w:rPr>
                <w:b/>
                <w:noProof/>
                <w:sz w:val="18"/>
                <w:szCs w:val="18"/>
              </w:rPr>
              <w:t xml:space="preserve">Dangerous </w:t>
            </w:r>
            <w:r>
              <w:rPr>
                <w:b/>
                <w:noProof/>
                <w:sz w:val="18"/>
                <w:szCs w:val="18"/>
              </w:rPr>
              <w:t>i</w:t>
            </w:r>
            <w:r w:rsidRPr="00DD01A9">
              <w:rPr>
                <w:b/>
                <w:noProof/>
                <w:sz w:val="18"/>
                <w:szCs w:val="18"/>
              </w:rPr>
              <w:t>tems</w:t>
            </w:r>
          </w:p>
        </w:tc>
        <w:tc>
          <w:tcPr>
            <w:tcW w:w="3972" w:type="pct"/>
          </w:tcPr>
          <w:p w14:paraId="2170AD8D" w14:textId="77777777" w:rsidR="00D73183" w:rsidRDefault="00D73183" w:rsidP="00B56C0C">
            <w:pPr>
              <w:spacing w:before="80" w:after="80"/>
              <w:rPr>
                <w:sz w:val="18"/>
                <w:szCs w:val="18"/>
              </w:rPr>
            </w:pPr>
            <w:r w:rsidRPr="00DD01A9">
              <w:rPr>
                <w:noProof/>
                <w:sz w:val="18"/>
                <w:szCs w:val="18"/>
              </w:rPr>
              <w:t xml:space="preserve">Dangerous items may include weapons and replica weapons; prescription and non-prescription medications; alcohol and illicit substances; aerosols; lighters and matches; razors and other sharp implements e.g. glass bottles or containers, aluminium cans. </w:t>
            </w:r>
          </w:p>
        </w:tc>
      </w:tr>
      <w:tr w:rsidR="00D73183" w:rsidRPr="00F750DC" w14:paraId="32E936C5" w14:textId="77777777" w:rsidTr="00B56C0C">
        <w:trPr>
          <w:cantSplit/>
        </w:trPr>
        <w:tc>
          <w:tcPr>
            <w:tcW w:w="1028" w:type="pct"/>
            <w:shd w:val="clear" w:color="auto" w:fill="F2F2F2" w:themeFill="background1" w:themeFillShade="F2"/>
          </w:tcPr>
          <w:p w14:paraId="00EC5443" w14:textId="77777777" w:rsidR="00D73183" w:rsidRPr="00DD01A9" w:rsidRDefault="00D73183" w:rsidP="00B56C0C">
            <w:pPr>
              <w:spacing w:before="80" w:after="80"/>
              <w:rPr>
                <w:rFonts w:cs="Arial"/>
                <w:b/>
                <w:bCs/>
                <w:sz w:val="18"/>
                <w:szCs w:val="18"/>
              </w:rPr>
            </w:pPr>
            <w:r w:rsidRPr="00DD01A9">
              <w:rPr>
                <w:b/>
                <w:noProof/>
                <w:sz w:val="18"/>
                <w:szCs w:val="18"/>
              </w:rPr>
              <w:t>Harm</w:t>
            </w:r>
          </w:p>
        </w:tc>
        <w:tc>
          <w:tcPr>
            <w:tcW w:w="3972" w:type="pct"/>
          </w:tcPr>
          <w:p w14:paraId="05694784" w14:textId="77777777" w:rsidR="00D73183" w:rsidRPr="00DD01A9" w:rsidRDefault="00D73183" w:rsidP="00B56C0C">
            <w:pPr>
              <w:spacing w:before="80" w:after="80"/>
              <w:rPr>
                <w:rFonts w:cs="Arial"/>
                <w:bCs/>
                <w:i/>
                <w:sz w:val="18"/>
                <w:szCs w:val="18"/>
              </w:rPr>
            </w:pPr>
            <w:r w:rsidRPr="00DD01A9">
              <w:rPr>
                <w:noProof/>
                <w:sz w:val="18"/>
                <w:szCs w:val="18"/>
              </w:rPr>
              <w:t>Where circumstances are such that there is concern for the safety, welfare or wellbeing of a person. Where harm occurs it may affect the health and safety of the patient or of another person or property damage.</w:t>
            </w:r>
          </w:p>
        </w:tc>
      </w:tr>
      <w:tr w:rsidR="00D73183" w:rsidRPr="00F750DC" w14:paraId="2F719EF5" w14:textId="77777777" w:rsidTr="00B56C0C">
        <w:trPr>
          <w:cantSplit/>
        </w:trPr>
        <w:tc>
          <w:tcPr>
            <w:tcW w:w="1028" w:type="pct"/>
            <w:shd w:val="clear" w:color="auto" w:fill="F2F2F2" w:themeFill="background1" w:themeFillShade="F2"/>
          </w:tcPr>
          <w:p w14:paraId="37E70229" w14:textId="77777777" w:rsidR="00D73183" w:rsidRPr="00DD01A9" w:rsidRDefault="00D73183" w:rsidP="00B56C0C">
            <w:pPr>
              <w:spacing w:before="80" w:after="80"/>
              <w:rPr>
                <w:b/>
                <w:noProof/>
                <w:sz w:val="18"/>
                <w:szCs w:val="18"/>
              </w:rPr>
            </w:pPr>
            <w:r>
              <w:rPr>
                <w:b/>
                <w:noProof/>
                <w:sz w:val="18"/>
                <w:szCs w:val="18"/>
              </w:rPr>
              <w:t>RN</w:t>
            </w:r>
          </w:p>
        </w:tc>
        <w:tc>
          <w:tcPr>
            <w:tcW w:w="3972" w:type="pct"/>
          </w:tcPr>
          <w:p w14:paraId="344AAA3C" w14:textId="77777777" w:rsidR="00D73183" w:rsidRPr="00DD01A9" w:rsidRDefault="00D73183" w:rsidP="00B56C0C">
            <w:pPr>
              <w:spacing w:before="80" w:after="80"/>
              <w:rPr>
                <w:noProof/>
                <w:sz w:val="18"/>
                <w:szCs w:val="18"/>
              </w:rPr>
            </w:pPr>
            <w:r>
              <w:rPr>
                <w:noProof/>
                <w:sz w:val="18"/>
                <w:szCs w:val="18"/>
              </w:rPr>
              <w:t>Registered nurse</w:t>
            </w:r>
          </w:p>
        </w:tc>
      </w:tr>
      <w:tr w:rsidR="00D73183" w:rsidRPr="00F750DC" w14:paraId="32EFD22E" w14:textId="77777777" w:rsidTr="00B56C0C">
        <w:trPr>
          <w:cantSplit/>
        </w:trPr>
        <w:tc>
          <w:tcPr>
            <w:tcW w:w="1028" w:type="pct"/>
            <w:shd w:val="clear" w:color="auto" w:fill="F2F2F2" w:themeFill="background1" w:themeFillShade="F2"/>
          </w:tcPr>
          <w:p w14:paraId="34EBEAB5" w14:textId="77777777" w:rsidR="00D73183" w:rsidRPr="00DD01A9" w:rsidRDefault="00D73183" w:rsidP="00B56C0C">
            <w:pPr>
              <w:spacing w:before="80" w:after="80"/>
              <w:rPr>
                <w:rFonts w:cs="Arial"/>
                <w:b/>
                <w:bCs/>
                <w:sz w:val="18"/>
                <w:szCs w:val="18"/>
              </w:rPr>
            </w:pPr>
            <w:r w:rsidRPr="00DD01A9">
              <w:rPr>
                <w:b/>
                <w:noProof/>
                <w:sz w:val="18"/>
                <w:szCs w:val="18"/>
              </w:rPr>
              <w:lastRenderedPageBreak/>
              <w:t xml:space="preserve">Universal </w:t>
            </w:r>
            <w:r>
              <w:rPr>
                <w:b/>
                <w:noProof/>
                <w:sz w:val="18"/>
                <w:szCs w:val="18"/>
              </w:rPr>
              <w:t>p</w:t>
            </w:r>
            <w:r w:rsidRPr="00DD01A9">
              <w:rPr>
                <w:b/>
                <w:noProof/>
                <w:sz w:val="18"/>
                <w:szCs w:val="18"/>
              </w:rPr>
              <w:t>recautions</w:t>
            </w:r>
          </w:p>
        </w:tc>
        <w:tc>
          <w:tcPr>
            <w:tcW w:w="3972" w:type="pct"/>
            <w:tcBorders>
              <w:bottom w:val="single" w:sz="4" w:space="0" w:color="FFFFFF" w:themeColor="background1"/>
            </w:tcBorders>
          </w:tcPr>
          <w:p w14:paraId="5997E317" w14:textId="77777777" w:rsidR="00D73183" w:rsidRPr="00DD01A9" w:rsidRDefault="00D73183" w:rsidP="00B56C0C">
            <w:pPr>
              <w:spacing w:before="80" w:after="80"/>
              <w:rPr>
                <w:rFonts w:cs="Arial"/>
                <w:bCs/>
                <w:i/>
                <w:sz w:val="18"/>
                <w:szCs w:val="18"/>
              </w:rPr>
            </w:pPr>
            <w:r w:rsidRPr="00DD01A9">
              <w:rPr>
                <w:noProof/>
                <w:sz w:val="18"/>
                <w:szCs w:val="18"/>
              </w:rPr>
              <w:t>An infection control practice of avoiding contact with patients bodily fluids by means of wearing gloves and if needed goggles and face shields.</w:t>
            </w:r>
          </w:p>
        </w:tc>
      </w:tr>
      <w:bookmarkEnd w:id="1"/>
      <w:bookmarkEnd w:id="2"/>
    </w:tbl>
    <w:p w14:paraId="355F0CF9" w14:textId="77777777" w:rsidR="00D73183" w:rsidRPr="001D321C" w:rsidRDefault="00D73183" w:rsidP="00D73183">
      <w:pPr>
        <w:spacing w:after="0"/>
        <w:rPr>
          <w:sz w:val="2"/>
          <w:szCs w:val="2"/>
        </w:rPr>
      </w:pPr>
    </w:p>
    <w:p w14:paraId="60FB72D6" w14:textId="77777777" w:rsidR="00942A3C" w:rsidRDefault="000E7809" w:rsidP="00284FCE">
      <w:pPr>
        <w:pStyle w:val="BodyHeading"/>
        <w:rPr>
          <w:lang w:eastAsia="en-AU"/>
        </w:rPr>
      </w:pPr>
      <w:r>
        <w:rPr>
          <w:lang w:eastAsia="en-AU"/>
        </w:rPr>
        <w:t>Document h</w:t>
      </w:r>
      <w:r w:rsidR="00942A3C">
        <w:rPr>
          <w:lang w:eastAsia="en-AU"/>
        </w:rPr>
        <w:t>istory</w:t>
      </w:r>
    </w:p>
    <w:tbl>
      <w:tblPr>
        <w:tblStyle w:val="NTGtable1"/>
        <w:tblpPr w:leftFromText="180" w:rightFromText="180" w:vertAnchor="text" w:horzAnchor="margin" w:tblpY="-26"/>
        <w:tblW w:w="10343" w:type="dxa"/>
        <w:tblLook w:val="0120" w:firstRow="1" w:lastRow="0" w:firstColumn="0" w:lastColumn="1" w:noHBand="0" w:noVBand="0"/>
      </w:tblPr>
      <w:tblGrid>
        <w:gridCol w:w="2689"/>
        <w:gridCol w:w="3361"/>
        <w:gridCol w:w="4293"/>
      </w:tblGrid>
      <w:tr w:rsidR="00982E8D" w14:paraId="7B886B53" w14:textId="77777777" w:rsidTr="001216F6">
        <w:trPr>
          <w:cnfStyle w:val="100000000000" w:firstRow="1" w:lastRow="0" w:firstColumn="0" w:lastColumn="0" w:oddVBand="0" w:evenVBand="0" w:oddHBand="0" w:evenHBand="0" w:firstRowFirstColumn="0" w:firstRowLastColumn="0" w:lastRowFirstColumn="0" w:lastRowLastColumn="0"/>
          <w:trHeight w:val="431"/>
        </w:trPr>
        <w:tc>
          <w:tcPr>
            <w:cnfStyle w:val="000100001000" w:firstRow="0" w:lastRow="0" w:firstColumn="0" w:lastColumn="1" w:oddVBand="0" w:evenVBand="0" w:oddHBand="0" w:evenHBand="0" w:firstRowFirstColumn="0" w:firstRowLastColumn="1" w:lastRowFirstColumn="0" w:lastRowLastColumn="0"/>
            <w:tcW w:w="10343" w:type="dxa"/>
            <w:gridSpan w:val="3"/>
            <w:tcBorders>
              <w:top w:val="single" w:sz="4" w:space="0" w:color="1F1F5F" w:themeColor="text1"/>
              <w:left w:val="single" w:sz="4" w:space="0" w:color="1F1F5F" w:themeColor="text1"/>
              <w:bottom w:val="nil"/>
              <w:right w:val="single" w:sz="4" w:space="0" w:color="1F1F5F" w:themeColor="text1"/>
            </w:tcBorders>
            <w:hideMark/>
          </w:tcPr>
          <w:p w14:paraId="297152F6" w14:textId="77777777" w:rsidR="00982E8D" w:rsidRPr="00450205" w:rsidRDefault="00982E8D" w:rsidP="001216F6">
            <w:pPr>
              <w:jc w:val="center"/>
            </w:pPr>
            <w:r w:rsidRPr="00450205">
              <w:rPr>
                <w:w w:val="105"/>
              </w:rPr>
              <w:t>Document metadata</w:t>
            </w:r>
          </w:p>
        </w:tc>
      </w:tr>
      <w:tr w:rsidR="00D73183" w:rsidRPr="00D8493C" w14:paraId="1C726E2C" w14:textId="77777777" w:rsidTr="001216F6">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689" w:type="dxa"/>
            <w:tcBorders>
              <w:top w:val="nil"/>
              <w:left w:val="single" w:sz="4" w:space="0" w:color="1F1F5F" w:themeColor="text1"/>
              <w:bottom w:val="nil"/>
              <w:right w:val="single" w:sz="4" w:space="0" w:color="1F1F5F" w:themeColor="text1"/>
            </w:tcBorders>
          </w:tcPr>
          <w:p w14:paraId="3B8A45B1" w14:textId="77777777" w:rsidR="00D73183" w:rsidRPr="00450205" w:rsidRDefault="00D73183" w:rsidP="00D73183">
            <w:pPr>
              <w:rPr>
                <w:b/>
              </w:rPr>
            </w:pPr>
            <w:r w:rsidRPr="00450205">
              <w:rPr>
                <w:b/>
              </w:rPr>
              <w:t>Document Owner</w:t>
            </w:r>
          </w:p>
        </w:tc>
        <w:tc>
          <w:tcPr>
            <w:cnfStyle w:val="000100000000" w:firstRow="0" w:lastRow="0" w:firstColumn="0" w:lastColumn="1" w:oddVBand="0" w:evenVBand="0" w:oddHBand="0" w:evenHBand="0" w:firstRowFirstColumn="0" w:firstRowLastColumn="0" w:lastRowFirstColumn="0" w:lastRowLastColumn="0"/>
            <w:tcW w:w="7654" w:type="dxa"/>
            <w:gridSpan w:val="2"/>
            <w:tcBorders>
              <w:top w:val="nil"/>
              <w:left w:val="single" w:sz="4" w:space="0" w:color="1F1F5F" w:themeColor="text1"/>
              <w:bottom w:val="nil"/>
              <w:right w:val="single" w:sz="4" w:space="0" w:color="1F1F5F" w:themeColor="text1"/>
            </w:tcBorders>
          </w:tcPr>
          <w:p w14:paraId="42A05890" w14:textId="1915E8B1" w:rsidR="00D73183" w:rsidRPr="00450205" w:rsidRDefault="00D73183" w:rsidP="00D73183">
            <w:r>
              <w:rPr>
                <w:color w:val="000000"/>
                <w:lang w:eastAsia="en-AU"/>
              </w:rPr>
              <w:t>Chair – Approved Procedures and Quality Assurance Committee</w:t>
            </w:r>
          </w:p>
        </w:tc>
      </w:tr>
      <w:tr w:rsidR="00D73183" w:rsidRPr="00D8493C" w14:paraId="2B42380F" w14:textId="77777777" w:rsidTr="001216F6">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689" w:type="dxa"/>
            <w:tcBorders>
              <w:top w:val="nil"/>
              <w:left w:val="single" w:sz="4" w:space="0" w:color="1F1F5F" w:themeColor="text1"/>
              <w:bottom w:val="nil"/>
              <w:right w:val="single" w:sz="4" w:space="0" w:color="1F1F5F" w:themeColor="text1"/>
            </w:tcBorders>
          </w:tcPr>
          <w:p w14:paraId="6CF94A00" w14:textId="77777777" w:rsidR="00D73183" w:rsidRPr="00450205" w:rsidRDefault="00D73183" w:rsidP="00D73183">
            <w:pPr>
              <w:rPr>
                <w:b/>
              </w:rPr>
            </w:pPr>
            <w:r w:rsidRPr="00450205">
              <w:rPr>
                <w:b/>
                <w:color w:val="000000"/>
                <w:lang w:eastAsia="en-AU"/>
              </w:rPr>
              <w:t>Document Approver</w:t>
            </w:r>
            <w:r w:rsidRPr="00450205">
              <w:rPr>
                <w:b/>
              </w:rPr>
              <w:t xml:space="preserve"> </w:t>
            </w:r>
          </w:p>
        </w:tc>
        <w:tc>
          <w:tcPr>
            <w:cnfStyle w:val="000100000000" w:firstRow="0" w:lastRow="0" w:firstColumn="0" w:lastColumn="1" w:oddVBand="0" w:evenVBand="0" w:oddHBand="0" w:evenHBand="0" w:firstRowFirstColumn="0" w:firstRowLastColumn="0" w:lastRowFirstColumn="0" w:lastRowLastColumn="0"/>
            <w:tcW w:w="7654" w:type="dxa"/>
            <w:gridSpan w:val="2"/>
            <w:tcBorders>
              <w:top w:val="nil"/>
              <w:left w:val="single" w:sz="4" w:space="0" w:color="1F1F5F" w:themeColor="text1"/>
              <w:bottom w:val="nil"/>
              <w:right w:val="single" w:sz="4" w:space="0" w:color="1F1F5F" w:themeColor="text1"/>
            </w:tcBorders>
          </w:tcPr>
          <w:p w14:paraId="3298CECC" w14:textId="43E243DE" w:rsidR="00D73183" w:rsidRPr="00450205" w:rsidRDefault="00D73183" w:rsidP="00D73183">
            <w:pPr>
              <w:tabs>
                <w:tab w:val="left" w:pos="10206"/>
              </w:tabs>
              <w:autoSpaceDE w:val="0"/>
              <w:autoSpaceDN w:val="0"/>
              <w:adjustRightInd w:val="0"/>
              <w:spacing w:after="80"/>
              <w:ind w:left="31" w:hanging="31"/>
              <w:rPr>
                <w:color w:val="000000"/>
                <w:lang w:eastAsia="en-AU"/>
              </w:rPr>
            </w:pPr>
            <w:r>
              <w:rPr>
                <w:color w:val="000000"/>
                <w:lang w:eastAsia="en-AU"/>
              </w:rPr>
              <w:t xml:space="preserve">Chief Psychiatrist </w:t>
            </w:r>
            <w:r w:rsidRPr="00450205">
              <w:rPr>
                <w:color w:val="000000"/>
                <w:lang w:eastAsia="en-AU"/>
              </w:rPr>
              <w:t xml:space="preserve"> </w:t>
            </w:r>
          </w:p>
        </w:tc>
      </w:tr>
      <w:tr w:rsidR="00D73183" w:rsidRPr="00D8493C" w14:paraId="7DEE0294" w14:textId="77777777" w:rsidTr="001216F6">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689" w:type="dxa"/>
            <w:tcBorders>
              <w:top w:val="nil"/>
              <w:left w:val="single" w:sz="4" w:space="0" w:color="1F1F5F" w:themeColor="text1"/>
              <w:bottom w:val="nil"/>
              <w:right w:val="single" w:sz="4" w:space="0" w:color="1F1F5F" w:themeColor="text1"/>
            </w:tcBorders>
          </w:tcPr>
          <w:p w14:paraId="266D6A06" w14:textId="77777777" w:rsidR="00D73183" w:rsidRPr="00450205" w:rsidRDefault="00D73183" w:rsidP="00D73183">
            <w:pPr>
              <w:rPr>
                <w:b/>
              </w:rPr>
            </w:pPr>
            <w:r w:rsidRPr="00450205">
              <w:rPr>
                <w:b/>
              </w:rPr>
              <w:t>Author</w:t>
            </w:r>
          </w:p>
        </w:tc>
        <w:tc>
          <w:tcPr>
            <w:cnfStyle w:val="000100000000" w:firstRow="0" w:lastRow="0" w:firstColumn="0" w:lastColumn="1" w:oddVBand="0" w:evenVBand="0" w:oddHBand="0" w:evenHBand="0" w:firstRowFirstColumn="0" w:firstRowLastColumn="0" w:lastRowFirstColumn="0" w:lastRowLastColumn="0"/>
            <w:tcW w:w="7654" w:type="dxa"/>
            <w:gridSpan w:val="2"/>
            <w:tcBorders>
              <w:top w:val="nil"/>
              <w:left w:val="single" w:sz="4" w:space="0" w:color="1F1F5F" w:themeColor="text1"/>
              <w:bottom w:val="nil"/>
              <w:right w:val="single" w:sz="4" w:space="0" w:color="1F1F5F" w:themeColor="text1"/>
            </w:tcBorders>
          </w:tcPr>
          <w:p w14:paraId="4E892219" w14:textId="276999FB" w:rsidR="00D73183" w:rsidRPr="00450205" w:rsidRDefault="00D73183" w:rsidP="00D73183">
            <w:pPr>
              <w:tabs>
                <w:tab w:val="left" w:pos="10206"/>
              </w:tabs>
              <w:rPr>
                <w:lang w:eastAsia="en-AU"/>
              </w:rPr>
            </w:pPr>
            <w:r>
              <w:rPr>
                <w:color w:val="000000"/>
                <w:lang w:eastAsia="en-AU"/>
              </w:rPr>
              <w:t>Approved Procedure and Quality Assurance Committee</w:t>
            </w:r>
          </w:p>
        </w:tc>
      </w:tr>
      <w:tr w:rsidR="00982E8D" w:rsidRPr="00D8493C" w14:paraId="2B6FB476" w14:textId="77777777" w:rsidTr="001216F6">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689" w:type="dxa"/>
            <w:tcBorders>
              <w:top w:val="nil"/>
              <w:left w:val="single" w:sz="4" w:space="0" w:color="1F1F5F" w:themeColor="text1"/>
              <w:bottom w:val="nil"/>
              <w:right w:val="single" w:sz="4" w:space="0" w:color="1F1F5F" w:themeColor="text1"/>
            </w:tcBorders>
          </w:tcPr>
          <w:p w14:paraId="2EE5DE61" w14:textId="77777777" w:rsidR="00982E8D" w:rsidRPr="00450205" w:rsidRDefault="00982E8D" w:rsidP="001216F6">
            <w:r w:rsidRPr="00450205">
              <w:rPr>
                <w:b/>
              </w:rPr>
              <w:t>HEALTHINTRA-ID</w:t>
            </w:r>
          </w:p>
        </w:tc>
        <w:tc>
          <w:tcPr>
            <w:cnfStyle w:val="000100000000" w:firstRow="0" w:lastRow="0" w:firstColumn="0" w:lastColumn="1" w:oddVBand="0" w:evenVBand="0" w:oddHBand="0" w:evenHBand="0" w:firstRowFirstColumn="0" w:firstRowLastColumn="0" w:lastRowFirstColumn="0" w:lastRowLastColumn="0"/>
            <w:tcW w:w="7654" w:type="dxa"/>
            <w:gridSpan w:val="2"/>
            <w:tcBorders>
              <w:top w:val="nil"/>
              <w:left w:val="single" w:sz="4" w:space="0" w:color="1F1F5F" w:themeColor="text1"/>
              <w:bottom w:val="nil"/>
              <w:right w:val="single" w:sz="4" w:space="0" w:color="1F1F5F" w:themeColor="text1"/>
            </w:tcBorders>
          </w:tcPr>
          <w:p w14:paraId="4390F765" w14:textId="442EAB57" w:rsidR="00982E8D" w:rsidRPr="00450205" w:rsidRDefault="00C42085" w:rsidP="001216F6">
            <w:pPr>
              <w:tabs>
                <w:tab w:val="left" w:pos="10206"/>
              </w:tabs>
              <w:rPr>
                <w:color w:val="000000"/>
                <w:lang w:eastAsia="en-AU"/>
              </w:rPr>
            </w:pPr>
            <w:r>
              <w:t>1627664142-58386</w:t>
            </w:r>
          </w:p>
        </w:tc>
      </w:tr>
      <w:tr w:rsidR="00982E8D" w:rsidRPr="00D8493C" w14:paraId="149D38F2" w14:textId="77777777" w:rsidTr="001216F6">
        <w:trPr>
          <w:cnfStyle w:val="000000100000" w:firstRow="0" w:lastRow="0" w:firstColumn="0" w:lastColumn="0" w:oddVBand="0" w:evenVBand="0" w:oddHBand="1" w:evenHBand="0"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689" w:type="dxa"/>
            <w:tcBorders>
              <w:top w:val="nil"/>
              <w:left w:val="single" w:sz="4" w:space="0" w:color="1F1F5F" w:themeColor="text1"/>
              <w:bottom w:val="nil"/>
              <w:right w:val="single" w:sz="4" w:space="0" w:color="1F1F5F" w:themeColor="text1"/>
            </w:tcBorders>
          </w:tcPr>
          <w:p w14:paraId="776AD361" w14:textId="77777777" w:rsidR="00982E8D" w:rsidRPr="00450205" w:rsidRDefault="00982E8D" w:rsidP="001216F6">
            <w:pPr>
              <w:rPr>
                <w:b/>
              </w:rPr>
            </w:pPr>
            <w:r w:rsidRPr="00450205">
              <w:rPr>
                <w:b/>
                <w:color w:val="000000"/>
                <w:lang w:eastAsia="en-AU"/>
              </w:rPr>
              <w:t>Content Manager ID</w:t>
            </w:r>
          </w:p>
        </w:tc>
        <w:tc>
          <w:tcPr>
            <w:cnfStyle w:val="000100000000" w:firstRow="0" w:lastRow="0" w:firstColumn="0" w:lastColumn="1" w:oddVBand="0" w:evenVBand="0" w:oddHBand="0" w:evenHBand="0" w:firstRowFirstColumn="0" w:firstRowLastColumn="0" w:lastRowFirstColumn="0" w:lastRowLastColumn="0"/>
            <w:tcW w:w="7654" w:type="dxa"/>
            <w:gridSpan w:val="2"/>
            <w:tcBorders>
              <w:top w:val="nil"/>
              <w:left w:val="single" w:sz="4" w:space="0" w:color="1F1F5F" w:themeColor="text1"/>
              <w:bottom w:val="nil"/>
              <w:right w:val="single" w:sz="4" w:space="0" w:color="1F1F5F" w:themeColor="text1"/>
            </w:tcBorders>
          </w:tcPr>
          <w:p w14:paraId="583C1923" w14:textId="0B6545D8" w:rsidR="00982E8D" w:rsidRPr="00450205" w:rsidRDefault="00C42085" w:rsidP="001216F6">
            <w:pPr>
              <w:tabs>
                <w:tab w:val="left" w:pos="10206"/>
              </w:tabs>
              <w:rPr>
                <w:b/>
                <w:color w:val="000000"/>
                <w:lang w:eastAsia="en-AU"/>
              </w:rPr>
            </w:pPr>
            <w:r>
              <w:rPr>
                <w:color w:val="000000"/>
                <w:lang w:eastAsia="en-AU"/>
              </w:rPr>
              <w:t>EDOC2021/305885</w:t>
            </w:r>
          </w:p>
        </w:tc>
      </w:tr>
      <w:tr w:rsidR="00982E8D" w:rsidRPr="00D8493C" w14:paraId="4FD58D22" w14:textId="77777777" w:rsidTr="001216F6">
        <w:trPr>
          <w:cnfStyle w:val="000000010000" w:firstRow="0" w:lastRow="0" w:firstColumn="0" w:lastColumn="0" w:oddVBand="0" w:evenVBand="0" w:oddHBand="0" w:evenHBand="1" w:firstRowFirstColumn="0" w:firstRowLastColumn="0" w:lastRowFirstColumn="0" w:lastRowLastColumn="0"/>
          <w:trHeight w:val="431"/>
        </w:trPr>
        <w:tc>
          <w:tcPr>
            <w:cnfStyle w:val="000010000000" w:firstRow="0" w:lastRow="0" w:firstColumn="0" w:lastColumn="0" w:oddVBand="1" w:evenVBand="0" w:oddHBand="0" w:evenHBand="0" w:firstRowFirstColumn="0" w:firstRowLastColumn="0" w:lastRowFirstColumn="0" w:lastRowLastColumn="0"/>
            <w:tcW w:w="2689" w:type="dxa"/>
            <w:tcBorders>
              <w:top w:val="nil"/>
              <w:left w:val="single" w:sz="4" w:space="0" w:color="1F1F5F" w:themeColor="text1"/>
              <w:bottom w:val="single" w:sz="4" w:space="0" w:color="auto"/>
              <w:right w:val="single" w:sz="4" w:space="0" w:color="1F1F5F" w:themeColor="text1"/>
            </w:tcBorders>
          </w:tcPr>
          <w:p w14:paraId="6E9E5E99" w14:textId="77777777" w:rsidR="00982E8D" w:rsidRDefault="00982E8D" w:rsidP="001216F6">
            <w:pPr>
              <w:tabs>
                <w:tab w:val="left" w:pos="10206"/>
              </w:tabs>
              <w:rPr>
                <w:iCs/>
                <w:color w:val="999999"/>
                <w:sz w:val="16"/>
              </w:rPr>
            </w:pPr>
            <w:r w:rsidRPr="008B2A1C">
              <w:rPr>
                <w:b/>
                <w:color w:val="000000"/>
                <w:sz w:val="16"/>
                <w:lang w:eastAsia="en-AU"/>
              </w:rPr>
              <w:t>Version Number:</w:t>
            </w:r>
            <w:r w:rsidRPr="008B2A1C">
              <w:rPr>
                <w:b/>
                <w:color w:val="000000"/>
                <w:sz w:val="12"/>
                <w:szCs w:val="18"/>
                <w:lang w:eastAsia="en-AU"/>
              </w:rPr>
              <w:t xml:space="preserve"> </w:t>
            </w:r>
            <w:r>
              <w:rPr>
                <w:iCs/>
                <w:color w:val="999999"/>
                <w:sz w:val="16"/>
              </w:rPr>
              <w:t xml:space="preserve">|  </w:t>
            </w:r>
            <w:sdt>
              <w:sdtPr>
                <w:rPr>
                  <w:iCs/>
                  <w:color w:val="999999"/>
                  <w:sz w:val="16"/>
                </w:rPr>
                <w:alias w:val="Label"/>
                <w:tag w:val="DLCPolicyLabelValue"/>
                <w:id w:val="1026915625"/>
                <w:lock w:val="contentLocked"/>
                <w:dataBinding w:prefixMappings="xmlns:ns0='http://schemas.microsoft.com/office/2006/metadata/properties' xmlns:ns1='http://www.w3.org/2001/XMLSchema-instance' xmlns:ns2='http://schemas.microsoft.com/office/infopath/2007/PartnerControls' xmlns:ns3='30212ded-5b93-4861-91df-e3d3c4882af7'" w:xpath="/ns0:properties[1]/documentManagement[1]/ns3:DLCPolicyLabelValue[1]" w:storeItemID="{65122405-FA08-4D6D-926B-9FF32DAC89C9}"/>
                <w:text w:multiLine="1"/>
              </w:sdtPr>
              <w:sdtEndPr/>
              <w:sdtContent>
                <w:r>
                  <w:rPr>
                    <w:iCs/>
                    <w:color w:val="999999"/>
                    <w:sz w:val="16"/>
                  </w:rPr>
                  <w:t>Version: {_UIVersionString}</w:t>
                </w:r>
              </w:sdtContent>
            </w:sdt>
            <w:r>
              <w:rPr>
                <w:iCs/>
                <w:color w:val="999999"/>
                <w:sz w:val="16"/>
              </w:rPr>
              <w:t xml:space="preserve"> | </w:t>
            </w:r>
          </w:p>
          <w:p w14:paraId="4CA006BF" w14:textId="77777777" w:rsidR="00982E8D" w:rsidRPr="00E179BF" w:rsidRDefault="00982E8D" w:rsidP="001216F6">
            <w:pPr>
              <w:tabs>
                <w:tab w:val="left" w:pos="10206"/>
              </w:tabs>
              <w:rPr>
                <w:b/>
                <w:color w:val="000000"/>
                <w:sz w:val="18"/>
                <w:szCs w:val="18"/>
                <w:lang w:eastAsia="en-AU"/>
              </w:rPr>
            </w:pPr>
            <w:r w:rsidRPr="008B2A1C">
              <w:rPr>
                <w:b/>
                <w:iCs/>
                <w:color w:val="FF0000"/>
                <w:sz w:val="12"/>
              </w:rPr>
              <w:t>DO NOT EDIT THIS FIELD</w:t>
            </w:r>
          </w:p>
        </w:tc>
        <w:tc>
          <w:tcPr>
            <w:cnfStyle w:val="000001000000" w:firstRow="0" w:lastRow="0" w:firstColumn="0" w:lastColumn="0" w:oddVBand="0" w:evenVBand="1" w:oddHBand="0" w:evenHBand="0" w:firstRowFirstColumn="0" w:firstRowLastColumn="0" w:lastRowFirstColumn="0" w:lastRowLastColumn="0"/>
            <w:tcW w:w="3361" w:type="dxa"/>
            <w:tcBorders>
              <w:top w:val="nil"/>
              <w:left w:val="single" w:sz="4" w:space="0" w:color="1F1F5F" w:themeColor="text1"/>
              <w:bottom w:val="single" w:sz="4" w:space="0" w:color="auto"/>
              <w:right w:val="single" w:sz="4" w:space="0" w:color="1F1F5F" w:themeColor="text1"/>
            </w:tcBorders>
          </w:tcPr>
          <w:p w14:paraId="322FAE45" w14:textId="77777777" w:rsidR="00982E8D" w:rsidRPr="00450205" w:rsidRDefault="00982E8D" w:rsidP="001216F6">
            <w:pPr>
              <w:tabs>
                <w:tab w:val="left" w:pos="10206"/>
              </w:tabs>
              <w:rPr>
                <w:color w:val="000000"/>
                <w:lang w:eastAsia="en-AU"/>
              </w:rPr>
            </w:pPr>
            <w:r w:rsidRPr="00450205">
              <w:rPr>
                <w:b/>
                <w:color w:val="000000"/>
                <w:lang w:eastAsia="en-AU"/>
              </w:rPr>
              <w:t>Approved Date:</w:t>
            </w:r>
            <w:r w:rsidRPr="00450205">
              <w:rPr>
                <w:color w:val="000000"/>
                <w:lang w:eastAsia="en-AU"/>
              </w:rPr>
              <w:t xml:space="preserve"> &lt;Insert dd/mm/yyyy&gt;</w:t>
            </w:r>
          </w:p>
        </w:tc>
        <w:tc>
          <w:tcPr>
            <w:cnfStyle w:val="000100000000" w:firstRow="0" w:lastRow="0" w:firstColumn="0" w:lastColumn="1" w:oddVBand="0" w:evenVBand="0" w:oddHBand="0" w:evenHBand="0" w:firstRowFirstColumn="0" w:firstRowLastColumn="0" w:lastRowFirstColumn="0" w:lastRowLastColumn="0"/>
            <w:tcW w:w="4293" w:type="dxa"/>
            <w:tcBorders>
              <w:top w:val="nil"/>
              <w:left w:val="single" w:sz="4" w:space="0" w:color="1F1F5F" w:themeColor="text1"/>
              <w:bottom w:val="single" w:sz="4" w:space="0" w:color="auto"/>
              <w:right w:val="single" w:sz="4" w:space="0" w:color="1F1F5F" w:themeColor="text1"/>
            </w:tcBorders>
          </w:tcPr>
          <w:p w14:paraId="6A3D6195" w14:textId="77777777" w:rsidR="00982E8D" w:rsidRPr="00450205" w:rsidRDefault="00982E8D" w:rsidP="001216F6">
            <w:pPr>
              <w:tabs>
                <w:tab w:val="left" w:pos="10206"/>
              </w:tabs>
              <w:rPr>
                <w:color w:val="000000"/>
                <w:lang w:eastAsia="en-AU"/>
              </w:rPr>
            </w:pPr>
            <w:r w:rsidRPr="00450205">
              <w:rPr>
                <w:b/>
                <w:color w:val="000000"/>
                <w:lang w:eastAsia="en-AU"/>
              </w:rPr>
              <w:t>Review Date:</w:t>
            </w:r>
            <w:r w:rsidRPr="00450205">
              <w:rPr>
                <w:color w:val="000000"/>
                <w:lang w:eastAsia="en-AU"/>
              </w:rPr>
              <w:t xml:space="preserve">  &lt;Insert dd/mm/yyyy&gt;</w:t>
            </w:r>
          </w:p>
        </w:tc>
      </w:tr>
    </w:tbl>
    <w:p w14:paraId="4E9442CB" w14:textId="160B25B8" w:rsidR="00160D67" w:rsidRPr="00C42085" w:rsidRDefault="00160D67" w:rsidP="00C42085">
      <w:pPr>
        <w:tabs>
          <w:tab w:val="left" w:pos="1510"/>
        </w:tabs>
        <w:rPr>
          <w:color w:val="FF0000"/>
          <w:sz w:val="20"/>
          <w:lang w:eastAsia="en-AU"/>
        </w:rPr>
      </w:pPr>
    </w:p>
    <w:sectPr w:rsidR="00160D67" w:rsidRPr="00C42085" w:rsidSect="00A43AF0">
      <w:headerReference w:type="default" r:id="rId23"/>
      <w:footerReference w:type="default" r:id="rId24"/>
      <w:headerReference w:type="first" r:id="rId25"/>
      <w:footerReference w:type="first" r:id="rId26"/>
      <w:pgSz w:w="11906" w:h="16838" w:code="9"/>
      <w:pgMar w:top="794" w:right="794" w:bottom="794" w:left="794"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2F0198" w14:textId="77777777" w:rsidR="005A0313" w:rsidRDefault="005A0313">
      <w:r>
        <w:separator/>
      </w:r>
    </w:p>
  </w:endnote>
  <w:endnote w:type="continuationSeparator" w:id="0">
    <w:p w14:paraId="735E32BD" w14:textId="77777777" w:rsidR="005A0313" w:rsidRDefault="005A0313">
      <w:r>
        <w:continuationSeparator/>
      </w:r>
    </w:p>
  </w:endnote>
  <w:endnote w:type="continuationNotice" w:id="1">
    <w:p w14:paraId="066A7C6C" w14:textId="77777777" w:rsidR="005A0313" w:rsidRDefault="005A031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A542C" w14:textId="77777777" w:rsidR="00ED6B90" w:rsidRPr="00073E3A" w:rsidRDefault="00ED6B90" w:rsidP="00ED6B90">
    <w:pPr>
      <w:pBdr>
        <w:top w:val="single" w:sz="4" w:space="1" w:color="auto"/>
      </w:pBdr>
      <w:spacing w:after="0"/>
      <w:jc w:val="center"/>
      <w:rPr>
        <w:rStyle w:val="PageNumber"/>
        <w:b/>
        <w:color w:val="FF0000"/>
        <w:sz w:val="16"/>
        <w:szCs w:val="16"/>
      </w:rPr>
    </w:pPr>
    <w:r w:rsidRPr="00073E3A">
      <w:rPr>
        <w:rStyle w:val="PageNumber"/>
        <w:b/>
        <w:color w:val="FF0000"/>
        <w:sz w:val="16"/>
        <w:szCs w:val="16"/>
      </w:rPr>
      <w:t>PRINT WARNING – Content is continually being revised.  ALWAYS refer to the electronic copy for the latest version.  Users must ensure that any printed copies of this document are of the latest version.</w:t>
    </w:r>
  </w:p>
  <w:p w14:paraId="0C2C0D48" w14:textId="77777777" w:rsidR="00ED6B90" w:rsidRPr="00073E3A" w:rsidRDefault="00ED6B90" w:rsidP="00ED6B90">
    <w:pPr>
      <w:ind w:left="142"/>
      <w:jc w:val="right"/>
      <w:rPr>
        <w:rFonts w:ascii="Arial Narrow" w:hAnsi="Arial Narrow"/>
        <w:sz w:val="16"/>
        <w:szCs w:val="16"/>
      </w:rPr>
    </w:pPr>
    <w:r w:rsidRPr="00F561D6">
      <w:rPr>
        <w:rFonts w:ascii="Arial Narrow" w:hAnsi="Arial Narrow"/>
        <w:iCs/>
        <w:sz w:val="16"/>
        <w:szCs w:val="16"/>
      </w:rPr>
      <w:t>This procedure has been developed for NT Health practice setting only.  Clinical content is intended to guide clinical practice and does not replace clinical judgement. Modification will occur according to internal audit processes and literature review</w:t>
    </w:r>
    <w:r w:rsidRPr="00F561D6">
      <w:rPr>
        <w:rFonts w:ascii="Arial Narrow" w:hAnsi="Arial Narrow"/>
        <w:sz w:val="16"/>
        <w:szCs w:val="16"/>
      </w:rPr>
      <w:t>.</w:t>
    </w:r>
    <w:r w:rsidRPr="00F561D6">
      <w:rPr>
        <w:rFonts w:ascii="Arial Narrow" w:hAnsi="Arial Narrow"/>
        <w:color w:val="1F497D"/>
        <w:sz w:val="16"/>
        <w:szCs w:val="16"/>
      </w:rPr>
      <w:t xml:space="preserve">  </w:t>
    </w:r>
    <w:r w:rsidRPr="00F561D6">
      <w:rPr>
        <w:rFonts w:ascii="Arial Narrow" w:hAnsi="Arial Narrow"/>
        <w:color w:val="000000"/>
        <w:sz w:val="16"/>
        <w:szCs w:val="16"/>
      </w:rPr>
      <w:t>The rationale for the variation from the procedure must be documented in the clinical record</w:t>
    </w:r>
    <w:r w:rsidRPr="00073E3A">
      <w:rPr>
        <w:rFonts w:ascii="Arial Narrow" w:hAnsi="Arial Narrow"/>
        <w:color w:val="1F497D"/>
        <w:sz w:val="16"/>
        <w:szCs w:val="16"/>
      </w:rPr>
      <w:t>.</w:t>
    </w:r>
  </w:p>
  <w:p w14:paraId="110628D9" w14:textId="77777777" w:rsidR="00ED6B90" w:rsidRPr="00073E3A" w:rsidRDefault="00ED6B90" w:rsidP="00ED6B90">
    <w:pPr>
      <w:spacing w:after="0"/>
      <w:jc w:val="center"/>
      <w:rPr>
        <w:rStyle w:val="PageNumber"/>
        <w:b/>
        <w:color w:val="FF0000"/>
        <w:sz w:val="16"/>
        <w:szCs w:val="16"/>
      </w:rPr>
    </w:pPr>
  </w:p>
  <w:p w14:paraId="6EE7CC34" w14:textId="6EFF921D" w:rsidR="00A43AF0" w:rsidRPr="00ED6B90" w:rsidRDefault="00ED6B90" w:rsidP="00ED6B90">
    <w:pPr>
      <w:pStyle w:val="Footer"/>
    </w:pPr>
    <w:r w:rsidRPr="00073E3A">
      <w:rPr>
        <w:rStyle w:val="PageNumber"/>
        <w:sz w:val="16"/>
        <w:szCs w:val="16"/>
      </w:rPr>
      <w:t xml:space="preserve">Page </w:t>
    </w:r>
    <w:r w:rsidRPr="00073E3A">
      <w:rPr>
        <w:rStyle w:val="PageNumber"/>
        <w:sz w:val="16"/>
        <w:szCs w:val="16"/>
      </w:rPr>
      <w:fldChar w:fldCharType="begin"/>
    </w:r>
    <w:r w:rsidRPr="00073E3A">
      <w:rPr>
        <w:rStyle w:val="PageNumber"/>
        <w:sz w:val="16"/>
        <w:szCs w:val="16"/>
      </w:rPr>
      <w:instrText xml:space="preserve"> PAGE  \* Arabic  \* MERGEFORMAT </w:instrText>
    </w:r>
    <w:r w:rsidRPr="00073E3A">
      <w:rPr>
        <w:rStyle w:val="PageNumber"/>
        <w:sz w:val="16"/>
        <w:szCs w:val="16"/>
      </w:rPr>
      <w:fldChar w:fldCharType="separate"/>
    </w:r>
    <w:r w:rsidR="00DA19F5">
      <w:rPr>
        <w:rStyle w:val="PageNumber"/>
        <w:noProof/>
        <w:sz w:val="16"/>
        <w:szCs w:val="16"/>
      </w:rPr>
      <w:t>5</w:t>
    </w:r>
    <w:r w:rsidRPr="00073E3A">
      <w:rPr>
        <w:rStyle w:val="PageNumber"/>
        <w:sz w:val="16"/>
        <w:szCs w:val="16"/>
      </w:rPr>
      <w:fldChar w:fldCharType="end"/>
    </w:r>
    <w:r w:rsidRPr="00073E3A">
      <w:rPr>
        <w:rStyle w:val="PageNumber"/>
        <w:sz w:val="16"/>
        <w:szCs w:val="16"/>
      </w:rPr>
      <w:t xml:space="preserve"> of </w:t>
    </w:r>
    <w:r w:rsidRPr="00073E3A">
      <w:rPr>
        <w:rStyle w:val="PageNumber"/>
        <w:sz w:val="16"/>
        <w:szCs w:val="16"/>
      </w:rPr>
      <w:fldChar w:fldCharType="begin"/>
    </w:r>
    <w:r w:rsidRPr="00073E3A">
      <w:rPr>
        <w:rStyle w:val="PageNumber"/>
        <w:sz w:val="16"/>
        <w:szCs w:val="16"/>
      </w:rPr>
      <w:instrText xml:space="preserve"> NUMPAGES  \* Arabic  \* MERGEFORMAT </w:instrText>
    </w:r>
    <w:r w:rsidRPr="00073E3A">
      <w:rPr>
        <w:rStyle w:val="PageNumber"/>
        <w:sz w:val="16"/>
        <w:szCs w:val="16"/>
      </w:rPr>
      <w:fldChar w:fldCharType="separate"/>
    </w:r>
    <w:r w:rsidR="00DA19F5">
      <w:rPr>
        <w:rStyle w:val="PageNumber"/>
        <w:noProof/>
        <w:sz w:val="16"/>
        <w:szCs w:val="16"/>
      </w:rPr>
      <w:t>8</w:t>
    </w:r>
    <w:r w:rsidRPr="00073E3A">
      <w:rPr>
        <w:rStyle w:val="PageNumber"/>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7716A" w14:textId="05F54FD1" w:rsidR="00A43AF0" w:rsidRDefault="00A43AF0" w:rsidP="00A43AF0">
    <w:pPr>
      <w:pStyle w:val="Footer"/>
      <w:jc w:val="right"/>
    </w:pPr>
    <w:r w:rsidRPr="001852AF">
      <w:rPr>
        <w:noProof/>
        <w:lang w:eastAsia="en-AU"/>
      </w:rPr>
      <w:drawing>
        <wp:inline distT="0" distB="0" distL="0" distR="0" wp14:anchorId="2F03C511" wp14:editId="3EABE33C">
          <wp:extent cx="1419225" cy="506866"/>
          <wp:effectExtent l="0" t="0" r="0" b="7620"/>
          <wp:docPr id="15" name="Picture 15"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431069" cy="511096"/>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1C0E7" w14:textId="77777777" w:rsidR="005A0313" w:rsidRDefault="005A0313">
      <w:r>
        <w:separator/>
      </w:r>
    </w:p>
  </w:footnote>
  <w:footnote w:type="continuationSeparator" w:id="0">
    <w:p w14:paraId="32BDA74C" w14:textId="77777777" w:rsidR="005A0313" w:rsidRDefault="005A0313">
      <w:r>
        <w:continuationSeparator/>
      </w:r>
    </w:p>
  </w:footnote>
  <w:footnote w:type="continuationNotice" w:id="1">
    <w:p w14:paraId="7DB7D1C5" w14:textId="77777777" w:rsidR="005A0313" w:rsidRDefault="005A0313">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12CA9" w14:textId="38F402B6" w:rsidR="00A43AF0" w:rsidRPr="00991ECE" w:rsidRDefault="00A43AF0" w:rsidP="00A43AF0">
    <w:pPr>
      <w:pStyle w:val="Title"/>
      <w:rPr>
        <w:rFonts w:asciiTheme="majorHAnsi" w:hAnsiTheme="majorHAnsi"/>
        <w:sz w:val="28"/>
        <w:szCs w:val="28"/>
      </w:rPr>
    </w:pPr>
    <w:r w:rsidRPr="00991ECE">
      <w:rPr>
        <w:rFonts w:asciiTheme="majorHAnsi" w:hAnsiTheme="majorHAnsi"/>
        <w:sz w:val="28"/>
        <w:szCs w:val="28"/>
      </w:rPr>
      <w:t xml:space="preserve">Approved Procedure </w:t>
    </w:r>
    <w:r>
      <w:rPr>
        <w:rFonts w:asciiTheme="majorHAnsi" w:hAnsiTheme="majorHAnsi"/>
        <w:sz w:val="28"/>
        <w:szCs w:val="28"/>
      </w:rPr>
      <w:t>31 Personal Search and Seizure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4AA02" w14:textId="77777777" w:rsidR="00A43AF0" w:rsidRPr="00964B22" w:rsidRDefault="00A43AF0" w:rsidP="00A43AF0">
    <w:pPr>
      <w:pStyle w:val="Title"/>
    </w:pPr>
    <w:r>
      <w:t xml:space="preserve">NT Health </w:t>
    </w:r>
    <w:r>
      <w:tab/>
    </w:r>
    <w:r>
      <w:tab/>
    </w:r>
    <w:r>
      <w:tab/>
    </w:r>
    <w:r>
      <w:tab/>
    </w:r>
    <w:r>
      <w:tab/>
    </w:r>
    <w:r>
      <w:tab/>
    </w:r>
    <w:r>
      <w:tab/>
    </w:r>
    <w:r>
      <w:tab/>
    </w:r>
    <w:r>
      <w:tab/>
    </w:r>
    <w:r>
      <w:tab/>
    </w:r>
    <w:r>
      <w:tab/>
    </w:r>
    <w:r>
      <w:tab/>
    </w:r>
    <w:r>
      <w:tab/>
    </w:r>
    <w:r>
      <w:tab/>
    </w:r>
    <w:r>
      <w:tab/>
    </w:r>
    <w:r>
      <w:tab/>
      <w:t xml:space="preserve">Procedure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90E3E"/>
    <w:multiLevelType w:val="hybridMultilevel"/>
    <w:tmpl w:val="492203B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BC6DBF"/>
    <w:multiLevelType w:val="hybridMultilevel"/>
    <w:tmpl w:val="F650FFF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B2F44AA"/>
    <w:multiLevelType w:val="hybridMultilevel"/>
    <w:tmpl w:val="C83C2E3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D262FD0"/>
    <w:multiLevelType w:val="hybridMultilevel"/>
    <w:tmpl w:val="F75C13D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F195B3C"/>
    <w:multiLevelType w:val="multilevel"/>
    <w:tmpl w:val="3928FD02"/>
    <w:name w:val="NTG Table Bullet List3322222"/>
    <w:numStyleLink w:val="Bulletlist"/>
  </w:abstractNum>
  <w:abstractNum w:abstractNumId="6" w15:restartNumberingAfterBreak="0">
    <w:nsid w:val="100244A1"/>
    <w:multiLevelType w:val="multilevel"/>
    <w:tmpl w:val="0C78A7AC"/>
    <w:name w:val="NTG Table Bullet List332"/>
    <w:numStyleLink w:val="Tablebulletlist"/>
  </w:abstractNum>
  <w:abstractNum w:abstractNumId="7" w15:restartNumberingAfterBreak="0">
    <w:nsid w:val="1012237B"/>
    <w:multiLevelType w:val="multilevel"/>
    <w:tmpl w:val="0C78A7AC"/>
    <w:name w:val="NTG Table Bullet List32"/>
    <w:numStyleLink w:val="Tablebulletlist"/>
  </w:abstractNum>
  <w:abstractNum w:abstractNumId="8" w15:restartNumberingAfterBreak="0">
    <w:nsid w:val="15E93577"/>
    <w:multiLevelType w:val="multilevel"/>
    <w:tmpl w:val="4E6AC8F6"/>
    <w:name w:val="NTG Table Bullet List33222222"/>
    <w:numStyleLink w:val="Numberlist"/>
  </w:abstractNum>
  <w:abstractNum w:abstractNumId="9" w15:restartNumberingAfterBreak="0">
    <w:nsid w:val="18D26C06"/>
    <w:multiLevelType w:val="multilevel"/>
    <w:tmpl w:val="3E5E177A"/>
    <w:name w:val="NTG Table Bullet List33222222222222222"/>
    <w:numStyleLink w:val="Tablenumberlist"/>
  </w:abstractNum>
  <w:abstractNum w:abstractNumId="10" w15:restartNumberingAfterBreak="0">
    <w:nsid w:val="19533A06"/>
    <w:multiLevelType w:val="multilevel"/>
    <w:tmpl w:val="3928FD02"/>
    <w:name w:val="NTG Table Bullet List3222"/>
    <w:numStyleLink w:val="Bulletlist"/>
  </w:abstractNum>
  <w:abstractNum w:abstractNumId="11"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2" w15:restartNumberingAfterBreak="0">
    <w:nsid w:val="1B066E59"/>
    <w:multiLevelType w:val="hybridMultilevel"/>
    <w:tmpl w:val="D7265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26429D"/>
    <w:multiLevelType w:val="multilevel"/>
    <w:tmpl w:val="3E5E177A"/>
    <w:name w:val="NTG Table Bullet List33222222222"/>
    <w:numStyleLink w:val="Tablenumberlist"/>
  </w:abstractNum>
  <w:abstractNum w:abstractNumId="14" w15:restartNumberingAfterBreak="0">
    <w:nsid w:val="1B86276C"/>
    <w:multiLevelType w:val="multilevel"/>
    <w:tmpl w:val="3928FD02"/>
    <w:name w:val="NTG Table Bullet List32223"/>
    <w:numStyleLink w:val="Bulletlist"/>
  </w:abstractNum>
  <w:abstractNum w:abstractNumId="15" w15:restartNumberingAfterBreak="0">
    <w:nsid w:val="1D0744AE"/>
    <w:multiLevelType w:val="multilevel"/>
    <w:tmpl w:val="3E5E177A"/>
    <w:name w:val="NTG Table Bullet List3222322"/>
    <w:numStyleLink w:val="Tablenumberlist"/>
  </w:abstractNum>
  <w:abstractNum w:abstractNumId="16"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7" w15:restartNumberingAfterBreak="0">
    <w:nsid w:val="272E3F76"/>
    <w:multiLevelType w:val="multilevel"/>
    <w:tmpl w:val="3E5E177A"/>
    <w:name w:val="NTG Table Bullet List3322"/>
    <w:numStyleLink w:val="Tablenumberlist"/>
  </w:abstractNum>
  <w:abstractNum w:abstractNumId="18" w15:restartNumberingAfterBreak="0">
    <w:nsid w:val="27CE4608"/>
    <w:multiLevelType w:val="multilevel"/>
    <w:tmpl w:val="3E5E177A"/>
    <w:name w:val="NTG Table Bullet List33222"/>
    <w:numStyleLink w:val="Tablenumberlist"/>
  </w:abstractNum>
  <w:abstractNum w:abstractNumId="19" w15:restartNumberingAfterBreak="0">
    <w:nsid w:val="27D83E4D"/>
    <w:multiLevelType w:val="multilevel"/>
    <w:tmpl w:val="3928FD02"/>
    <w:numStyleLink w:val="Bulletlist"/>
  </w:abstractNum>
  <w:abstractNum w:abstractNumId="20" w15:restartNumberingAfterBreak="0">
    <w:nsid w:val="2BB03CF9"/>
    <w:multiLevelType w:val="hybridMultilevel"/>
    <w:tmpl w:val="D694700A"/>
    <w:lvl w:ilvl="0" w:tplc="0C090001">
      <w:start w:val="1"/>
      <w:numFmt w:val="bullet"/>
      <w:lvlText w:val=""/>
      <w:lvlJc w:val="left"/>
      <w:pPr>
        <w:ind w:left="644" w:hanging="360"/>
      </w:pPr>
      <w:rPr>
        <w:rFonts w:ascii="Symbol" w:hAnsi="Symbol"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21" w15:restartNumberingAfterBreak="0">
    <w:nsid w:val="2C951974"/>
    <w:multiLevelType w:val="hybridMultilevel"/>
    <w:tmpl w:val="60CE4A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3" w15:restartNumberingAfterBreak="0">
    <w:nsid w:val="2DB36A1D"/>
    <w:multiLevelType w:val="multilevel"/>
    <w:tmpl w:val="3D3A4EB0"/>
    <w:lvl w:ilvl="0">
      <w:start w:val="1"/>
      <w:numFmt w:val="decimal"/>
      <w:lvlText w:val="%1."/>
      <w:lvlJc w:val="left"/>
      <w:pPr>
        <w:ind w:left="360" w:hanging="360"/>
      </w:pPr>
      <w:rPr>
        <w:rFonts w:hint="default"/>
      </w:rPr>
    </w:lvl>
    <w:lvl w:ilvl="1">
      <w:start w:val="1"/>
      <w:numFmt w:val="bullet"/>
      <w:lvlText w:val=""/>
      <w:lvlJc w:val="left"/>
      <w:pPr>
        <w:ind w:left="367" w:hanging="367"/>
      </w:pPr>
      <w:rPr>
        <w:rFonts w:ascii="Symbol" w:hAnsi="Symbol" w:hint="default"/>
      </w:rPr>
    </w:lvl>
    <w:lvl w:ilvl="2">
      <w:start w:val="1"/>
      <w:numFmt w:val="bullet"/>
      <w:lvlText w:val="o"/>
      <w:lvlJc w:val="left"/>
      <w:pPr>
        <w:ind w:left="720" w:hanging="720"/>
      </w:pPr>
      <w:rPr>
        <w:rFonts w:ascii="Courier New" w:hAnsi="Courier New" w:cs="Courier New"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4" w15:restartNumberingAfterBreak="0">
    <w:nsid w:val="2E693641"/>
    <w:multiLevelType w:val="multilevel"/>
    <w:tmpl w:val="3E5E177A"/>
    <w:name w:val="NTG Table Bullet List33"/>
    <w:numStyleLink w:val="Tablenumberlist"/>
  </w:abstractNum>
  <w:abstractNum w:abstractNumId="25" w15:restartNumberingAfterBreak="0">
    <w:nsid w:val="2EF077BC"/>
    <w:multiLevelType w:val="multilevel"/>
    <w:tmpl w:val="0C78A7AC"/>
    <w:name w:val="NTG Table Bullet List33222222222222222222"/>
    <w:numStyleLink w:val="Tablebulletlist"/>
  </w:abstractNum>
  <w:abstractNum w:abstractNumId="26" w15:restartNumberingAfterBreak="0">
    <w:nsid w:val="32DF44DA"/>
    <w:multiLevelType w:val="multilevel"/>
    <w:tmpl w:val="3E5E177A"/>
    <w:name w:val="NTG Table Bullet List3222323"/>
    <w:numStyleLink w:val="Tablenumberlist"/>
  </w:abstractNum>
  <w:abstractNum w:abstractNumId="27"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8"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BE61945"/>
    <w:multiLevelType w:val="multilevel"/>
    <w:tmpl w:val="3928FD02"/>
    <w:name w:val="NTG Table Bullet List332222222222222222"/>
    <w:numStyleLink w:val="Bulletlist"/>
  </w:abstractNum>
  <w:abstractNum w:abstractNumId="30" w15:restartNumberingAfterBreak="0">
    <w:nsid w:val="3EB02DBF"/>
    <w:multiLevelType w:val="hybridMultilevel"/>
    <w:tmpl w:val="08D0516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1" w15:restartNumberingAfterBreak="0">
    <w:nsid w:val="4068196E"/>
    <w:multiLevelType w:val="hybridMultilevel"/>
    <w:tmpl w:val="69FC8A60"/>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41B50037"/>
    <w:multiLevelType w:val="hybridMultilevel"/>
    <w:tmpl w:val="192029CC"/>
    <w:lvl w:ilvl="0" w:tplc="D08E5D54">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9FD3A20"/>
    <w:multiLevelType w:val="multilevel"/>
    <w:tmpl w:val="3E5E177A"/>
    <w:name w:val="NTG Table Bullet List3322222222222"/>
    <w:numStyleLink w:val="Tablenumberlist"/>
  </w:abstractNum>
  <w:abstractNum w:abstractNumId="34"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5"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6" w15:restartNumberingAfterBreak="0">
    <w:nsid w:val="53842BC6"/>
    <w:multiLevelType w:val="multilevel"/>
    <w:tmpl w:val="0C78A7AC"/>
    <w:numStyleLink w:val="Tablebulletlist"/>
  </w:abstractNum>
  <w:abstractNum w:abstractNumId="37"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8" w15:restartNumberingAfterBreak="0">
    <w:nsid w:val="56DA2CAE"/>
    <w:multiLevelType w:val="multilevel"/>
    <w:tmpl w:val="3E5E177A"/>
    <w:name w:val="NTG Table Bullet List332222222222222"/>
    <w:numStyleLink w:val="Tablenumberlist"/>
  </w:abstractNum>
  <w:abstractNum w:abstractNumId="39" w15:restartNumberingAfterBreak="0">
    <w:nsid w:val="583359D9"/>
    <w:multiLevelType w:val="multilevel"/>
    <w:tmpl w:val="3E5E177A"/>
    <w:name w:val="NTG Table Bullet List332222222"/>
    <w:numStyleLink w:val="Tablenumberlist"/>
  </w:abstractNum>
  <w:abstractNum w:abstractNumId="40" w15:restartNumberingAfterBreak="0">
    <w:nsid w:val="58336E8C"/>
    <w:multiLevelType w:val="hybridMultilevel"/>
    <w:tmpl w:val="853CE0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5B9A5FFE"/>
    <w:multiLevelType w:val="multilevel"/>
    <w:tmpl w:val="0C78A7AC"/>
    <w:name w:val="NTG Table Bullet List33222222222222"/>
    <w:numStyleLink w:val="Tablebulletlist"/>
  </w:abstractNum>
  <w:abstractNum w:abstractNumId="42" w15:restartNumberingAfterBreak="0">
    <w:nsid w:val="5D444259"/>
    <w:multiLevelType w:val="multilevel"/>
    <w:tmpl w:val="0C78A7AC"/>
    <w:name w:val="NTG Table Bullet List332222"/>
    <w:numStyleLink w:val="Tablebulletlist"/>
  </w:abstractNum>
  <w:abstractNum w:abstractNumId="43" w15:restartNumberingAfterBreak="0">
    <w:nsid w:val="5F0D495F"/>
    <w:multiLevelType w:val="hybridMultilevel"/>
    <w:tmpl w:val="105A927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61861FC0"/>
    <w:multiLevelType w:val="hybridMultilevel"/>
    <w:tmpl w:val="6F9AE8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28023AB"/>
    <w:multiLevelType w:val="hybridMultilevel"/>
    <w:tmpl w:val="41D63C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2C85B56"/>
    <w:multiLevelType w:val="hybridMultilevel"/>
    <w:tmpl w:val="2E5E2DCE"/>
    <w:lvl w:ilvl="0" w:tplc="466CEE80">
      <w:start w:val="1"/>
      <w:numFmt w:val="bullet"/>
      <w:lvlText w:val="•"/>
      <w:lvlJc w:val="left"/>
      <w:pPr>
        <w:ind w:left="720" w:hanging="360"/>
      </w:pPr>
      <w:rPr>
        <w:rFonts w:ascii="Lato" w:eastAsia="Calibri" w:hAnsi="Lato"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679A5687"/>
    <w:multiLevelType w:val="multilevel"/>
    <w:tmpl w:val="3048C626"/>
    <w:lvl w:ilvl="0">
      <w:start w:val="1"/>
      <w:numFmt w:val="decimal"/>
      <w:lvlText w:val="%1."/>
      <w:lvlJc w:val="left"/>
      <w:pPr>
        <w:ind w:left="360" w:hanging="360"/>
      </w:pPr>
      <w:rPr>
        <w:rFonts w:hint="default"/>
      </w:rPr>
    </w:lvl>
    <w:lvl w:ilvl="1">
      <w:start w:val="1"/>
      <w:numFmt w:val="bullet"/>
      <w:lvlText w:val=""/>
      <w:lvlJc w:val="left"/>
      <w:pPr>
        <w:ind w:left="367" w:hanging="367"/>
      </w:pPr>
      <w:rPr>
        <w:rFonts w:ascii="Symbol" w:hAnsi="Symbol"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8" w15:restartNumberingAfterBreak="0">
    <w:nsid w:val="69262556"/>
    <w:multiLevelType w:val="multilevel"/>
    <w:tmpl w:val="3E5E177A"/>
    <w:name w:val="NTG Table Bullet List3322222222222222"/>
    <w:numStyleLink w:val="Tablenumberlist"/>
  </w:abstractNum>
  <w:abstractNum w:abstractNumId="49" w15:restartNumberingAfterBreak="0">
    <w:nsid w:val="6BCB149B"/>
    <w:multiLevelType w:val="hybridMultilevel"/>
    <w:tmpl w:val="EDCEBF02"/>
    <w:lvl w:ilvl="0" w:tplc="D08E5D54">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7453664D"/>
    <w:multiLevelType w:val="multilevel"/>
    <w:tmpl w:val="0C78A7AC"/>
    <w:name w:val="NTG Table Bullet List3322222222222222222"/>
    <w:numStyleLink w:val="Tablebulletlist"/>
  </w:abstractNum>
  <w:abstractNum w:abstractNumId="51" w15:restartNumberingAfterBreak="0">
    <w:nsid w:val="76141D1E"/>
    <w:multiLevelType w:val="multilevel"/>
    <w:tmpl w:val="0C78A7AC"/>
    <w:name w:val="NTG Table Bullet List332222222222"/>
    <w:numStyleLink w:val="Tablebulletlist"/>
  </w:abstractNum>
  <w:abstractNum w:abstractNumId="52" w15:restartNumberingAfterBreak="0">
    <w:nsid w:val="79CC6470"/>
    <w:multiLevelType w:val="multilevel"/>
    <w:tmpl w:val="FE386D30"/>
    <w:lvl w:ilvl="0">
      <w:start w:val="1"/>
      <w:numFmt w:val="decimal"/>
      <w:suff w:val="space"/>
      <w:lvlText w:val="%1."/>
      <w:lvlJc w:val="left"/>
      <w:pPr>
        <w:ind w:left="432" w:hanging="432"/>
      </w:pPr>
      <w:rPr>
        <w:rFonts w:hint="default"/>
        <w:b w:val="0"/>
        <w:i w:val="0"/>
      </w:rPr>
    </w:lvl>
    <w:lvl w:ilvl="1">
      <w:start w:val="1"/>
      <w:numFmt w:val="decimal"/>
      <w:suff w:val="space"/>
      <w:lvlText w:val="%1.%2."/>
      <w:lvlJc w:val="left"/>
      <w:pPr>
        <w:ind w:left="576" w:hanging="576"/>
      </w:pPr>
      <w:rPr>
        <w:rFonts w:hint="default"/>
      </w:rPr>
    </w:lvl>
    <w:lvl w:ilvl="2">
      <w:start w:val="1"/>
      <w:numFmt w:val="decimal"/>
      <w:pStyle w:val="Heading3"/>
      <w:suff w:val="space"/>
      <w:lvlText w:val="%1.%2.%3."/>
      <w:lvlJc w:val="left"/>
      <w:pPr>
        <w:ind w:left="720" w:hanging="720"/>
      </w:pPr>
      <w:rPr>
        <w:rFonts w:hint="default"/>
      </w:rPr>
    </w:lvl>
    <w:lvl w:ilvl="3">
      <w:start w:val="1"/>
      <w:numFmt w:val="decimal"/>
      <w:pStyle w:val="Heading4"/>
      <w:suff w:val="space"/>
      <w:lvlText w:val="%1.%2.%3.%4."/>
      <w:lvlJc w:val="left"/>
      <w:pPr>
        <w:ind w:left="864" w:hanging="864"/>
      </w:pPr>
      <w:rPr>
        <w:rFonts w:hint="default"/>
      </w:rPr>
    </w:lvl>
    <w:lvl w:ilvl="4">
      <w:start w:val="1"/>
      <w:numFmt w:val="decimal"/>
      <w:pStyle w:val="Heading5"/>
      <w:suff w:val="space"/>
      <w:lvlText w:val="%1.%2.%3.%4.%5."/>
      <w:lvlJc w:val="left"/>
      <w:pPr>
        <w:ind w:left="1008" w:hanging="1008"/>
      </w:pPr>
      <w:rPr>
        <w:rFonts w:hint="default"/>
      </w:rPr>
    </w:lvl>
    <w:lvl w:ilvl="5">
      <w:start w:val="1"/>
      <w:numFmt w:val="decimal"/>
      <w:pStyle w:val="Heading6"/>
      <w:suff w:val="space"/>
      <w:lvlText w:val="%1.%2.%3.%4.%5.%6."/>
      <w:lvlJc w:val="left"/>
      <w:pPr>
        <w:ind w:left="1152" w:hanging="1152"/>
      </w:pPr>
      <w:rPr>
        <w:rFonts w:hint="default"/>
      </w:rPr>
    </w:lvl>
    <w:lvl w:ilvl="6">
      <w:start w:val="1"/>
      <w:numFmt w:val="decimal"/>
      <w:pStyle w:val="Heading7"/>
      <w:suff w:val="space"/>
      <w:lvlText w:val="%1.%2.%3.%4.%5.%6.%7."/>
      <w:lvlJc w:val="left"/>
      <w:pPr>
        <w:ind w:left="1296" w:hanging="1296"/>
      </w:pPr>
      <w:rPr>
        <w:rFonts w:hint="default"/>
      </w:rPr>
    </w:lvl>
    <w:lvl w:ilvl="7">
      <w:start w:val="1"/>
      <w:numFmt w:val="decimal"/>
      <w:pStyle w:val="Heading8"/>
      <w:suff w:val="space"/>
      <w:lvlText w:val="%1.%2.%3.%4.%5.%6.%7.%8."/>
      <w:lvlJc w:val="left"/>
      <w:pPr>
        <w:ind w:left="1440" w:hanging="1440"/>
      </w:pPr>
      <w:rPr>
        <w:rFonts w:hint="default"/>
      </w:rPr>
    </w:lvl>
    <w:lvl w:ilvl="8">
      <w:start w:val="1"/>
      <w:numFmt w:val="decimal"/>
      <w:pStyle w:val="Heading9"/>
      <w:suff w:val="space"/>
      <w:lvlText w:val="%1.%2.%3.%4.%5.%6.%7.%8.%9."/>
      <w:lvlJc w:val="left"/>
      <w:pPr>
        <w:ind w:left="1584" w:hanging="1584"/>
      </w:pPr>
      <w:rPr>
        <w:rFonts w:hint="default"/>
      </w:rPr>
    </w:lvl>
  </w:abstractNum>
  <w:abstractNum w:abstractNumId="5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4" w15:restartNumberingAfterBreak="0">
    <w:nsid w:val="7F1D62EB"/>
    <w:multiLevelType w:val="hybridMultilevel"/>
    <w:tmpl w:val="EC28834C"/>
    <w:lvl w:ilvl="0" w:tplc="7EFE32EC">
      <w:start w:val="1"/>
      <w:numFmt w:val="bullet"/>
      <w:lvlText w:val=""/>
      <w:lvlJc w:val="left"/>
      <w:pPr>
        <w:ind w:left="720" w:hanging="360"/>
      </w:pPr>
      <w:rPr>
        <w:rFonts w:ascii="Symbol" w:hAnsi="Symbol" w:hint="default"/>
        <w:sz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7"/>
  </w:num>
  <w:num w:numId="2">
    <w:abstractNumId w:val="16"/>
  </w:num>
  <w:num w:numId="3">
    <w:abstractNumId w:val="52"/>
  </w:num>
  <w:num w:numId="4">
    <w:abstractNumId w:val="34"/>
  </w:num>
  <w:num w:numId="5">
    <w:abstractNumId w:val="22"/>
  </w:num>
  <w:num w:numId="6">
    <w:abstractNumId w:val="11"/>
  </w:num>
  <w:num w:numId="7">
    <w:abstractNumId w:val="36"/>
  </w:num>
  <w:num w:numId="8">
    <w:abstractNumId w:val="19"/>
  </w:num>
  <w:num w:numId="9">
    <w:abstractNumId w:val="28"/>
  </w:num>
  <w:num w:numId="10">
    <w:abstractNumId w:val="1"/>
  </w:num>
  <w:num w:numId="11">
    <w:abstractNumId w:val="52"/>
  </w:num>
  <w:num w:numId="12">
    <w:abstractNumId w:val="20"/>
  </w:num>
  <w:num w:numId="13">
    <w:abstractNumId w:val="32"/>
  </w:num>
  <w:num w:numId="14">
    <w:abstractNumId w:val="54"/>
  </w:num>
  <w:num w:numId="15">
    <w:abstractNumId w:val="4"/>
  </w:num>
  <w:num w:numId="16">
    <w:abstractNumId w:val="0"/>
  </w:num>
  <w:num w:numId="17">
    <w:abstractNumId w:val="52"/>
    <w:lvlOverride w:ilvl="0">
      <w:startOverride w:val="1"/>
    </w:lvlOverride>
  </w:num>
  <w:num w:numId="18">
    <w:abstractNumId w:val="49"/>
  </w:num>
  <w:num w:numId="19">
    <w:abstractNumId w:val="52"/>
  </w:num>
  <w:num w:numId="20">
    <w:abstractNumId w:val="30"/>
  </w:num>
  <w:num w:numId="21">
    <w:abstractNumId w:val="31"/>
  </w:num>
  <w:num w:numId="22">
    <w:abstractNumId w:val="21"/>
  </w:num>
  <w:num w:numId="23">
    <w:abstractNumId w:val="12"/>
  </w:num>
  <w:num w:numId="24">
    <w:abstractNumId w:val="46"/>
  </w:num>
  <w:num w:numId="25">
    <w:abstractNumId w:val="47"/>
  </w:num>
  <w:num w:numId="26">
    <w:abstractNumId w:val="2"/>
  </w:num>
  <w:num w:numId="27">
    <w:abstractNumId w:val="44"/>
  </w:num>
  <w:num w:numId="28">
    <w:abstractNumId w:val="23"/>
  </w:num>
  <w:num w:numId="29">
    <w:abstractNumId w:val="40"/>
  </w:num>
  <w:num w:numId="30">
    <w:abstractNumId w:val="43"/>
  </w:num>
  <w:num w:numId="31">
    <w:abstractNumId w:val="4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1BF2"/>
    <w:rsid w:val="00001496"/>
    <w:rsid w:val="00001DDF"/>
    <w:rsid w:val="0000322D"/>
    <w:rsid w:val="00007670"/>
    <w:rsid w:val="00010036"/>
    <w:rsid w:val="00010665"/>
    <w:rsid w:val="0002393A"/>
    <w:rsid w:val="00027DB8"/>
    <w:rsid w:val="000307A7"/>
    <w:rsid w:val="00031A96"/>
    <w:rsid w:val="00037735"/>
    <w:rsid w:val="00040BF3"/>
    <w:rsid w:val="0004577F"/>
    <w:rsid w:val="00046C59"/>
    <w:rsid w:val="00051017"/>
    <w:rsid w:val="00051362"/>
    <w:rsid w:val="00051F45"/>
    <w:rsid w:val="00052953"/>
    <w:rsid w:val="0005341A"/>
    <w:rsid w:val="00056DEF"/>
    <w:rsid w:val="00063182"/>
    <w:rsid w:val="000656D4"/>
    <w:rsid w:val="00071CD8"/>
    <w:rsid w:val="000720BE"/>
    <w:rsid w:val="0007259C"/>
    <w:rsid w:val="00073E3A"/>
    <w:rsid w:val="00074573"/>
    <w:rsid w:val="00076779"/>
    <w:rsid w:val="00080202"/>
    <w:rsid w:val="00080DCD"/>
    <w:rsid w:val="00080E22"/>
    <w:rsid w:val="00082573"/>
    <w:rsid w:val="000840A3"/>
    <w:rsid w:val="00085062"/>
    <w:rsid w:val="00086A5F"/>
    <w:rsid w:val="000911EF"/>
    <w:rsid w:val="000962C5"/>
    <w:rsid w:val="00096CC0"/>
    <w:rsid w:val="000A1A19"/>
    <w:rsid w:val="000A385C"/>
    <w:rsid w:val="000A4317"/>
    <w:rsid w:val="000A559C"/>
    <w:rsid w:val="000B2CA1"/>
    <w:rsid w:val="000B6367"/>
    <w:rsid w:val="000B7F0A"/>
    <w:rsid w:val="000C6B5F"/>
    <w:rsid w:val="000D1F29"/>
    <w:rsid w:val="000D633D"/>
    <w:rsid w:val="000D6FA4"/>
    <w:rsid w:val="000E0962"/>
    <w:rsid w:val="000E342B"/>
    <w:rsid w:val="000E38FB"/>
    <w:rsid w:val="000E5DD2"/>
    <w:rsid w:val="000E7809"/>
    <w:rsid w:val="000F2958"/>
    <w:rsid w:val="000F4805"/>
    <w:rsid w:val="000F59DC"/>
    <w:rsid w:val="00102987"/>
    <w:rsid w:val="00104E7F"/>
    <w:rsid w:val="001117D8"/>
    <w:rsid w:val="001137EC"/>
    <w:rsid w:val="001141BC"/>
    <w:rsid w:val="001152F5"/>
    <w:rsid w:val="00117743"/>
    <w:rsid w:val="00117F5B"/>
    <w:rsid w:val="00121527"/>
    <w:rsid w:val="001220F1"/>
    <w:rsid w:val="00127543"/>
    <w:rsid w:val="00132658"/>
    <w:rsid w:val="001420B6"/>
    <w:rsid w:val="00143F4A"/>
    <w:rsid w:val="00147DED"/>
    <w:rsid w:val="00150DC0"/>
    <w:rsid w:val="00156CD4"/>
    <w:rsid w:val="00160D67"/>
    <w:rsid w:val="00161CC6"/>
    <w:rsid w:val="00164A3E"/>
    <w:rsid w:val="00166FF6"/>
    <w:rsid w:val="00172C77"/>
    <w:rsid w:val="00176123"/>
    <w:rsid w:val="00180744"/>
    <w:rsid w:val="00181620"/>
    <w:rsid w:val="00181FAF"/>
    <w:rsid w:val="001852AF"/>
    <w:rsid w:val="00187C5B"/>
    <w:rsid w:val="00187E0A"/>
    <w:rsid w:val="001941EC"/>
    <w:rsid w:val="001957AD"/>
    <w:rsid w:val="001964D8"/>
    <w:rsid w:val="001A21F0"/>
    <w:rsid w:val="001A2B7F"/>
    <w:rsid w:val="001A3AFD"/>
    <w:rsid w:val="001A496C"/>
    <w:rsid w:val="001A6304"/>
    <w:rsid w:val="001B26BF"/>
    <w:rsid w:val="001B2B6C"/>
    <w:rsid w:val="001C3C59"/>
    <w:rsid w:val="001D01C4"/>
    <w:rsid w:val="001D52B0"/>
    <w:rsid w:val="001D5A18"/>
    <w:rsid w:val="001D7CA4"/>
    <w:rsid w:val="001E057F"/>
    <w:rsid w:val="001E14EB"/>
    <w:rsid w:val="001E1982"/>
    <w:rsid w:val="001F2879"/>
    <w:rsid w:val="001F59E6"/>
    <w:rsid w:val="00200069"/>
    <w:rsid w:val="00202014"/>
    <w:rsid w:val="002042AF"/>
    <w:rsid w:val="00206936"/>
    <w:rsid w:val="00206C6F"/>
    <w:rsid w:val="00206FBD"/>
    <w:rsid w:val="00207746"/>
    <w:rsid w:val="00211FCF"/>
    <w:rsid w:val="00215A65"/>
    <w:rsid w:val="00221220"/>
    <w:rsid w:val="00230031"/>
    <w:rsid w:val="00235C01"/>
    <w:rsid w:val="00236878"/>
    <w:rsid w:val="00242461"/>
    <w:rsid w:val="00247343"/>
    <w:rsid w:val="00262F4C"/>
    <w:rsid w:val="00265C56"/>
    <w:rsid w:val="00265EB7"/>
    <w:rsid w:val="002716CD"/>
    <w:rsid w:val="00274D4B"/>
    <w:rsid w:val="002806F5"/>
    <w:rsid w:val="00281577"/>
    <w:rsid w:val="00284FCE"/>
    <w:rsid w:val="00286390"/>
    <w:rsid w:val="002926BC"/>
    <w:rsid w:val="00293A72"/>
    <w:rsid w:val="002A0160"/>
    <w:rsid w:val="002A30C3"/>
    <w:rsid w:val="002A6F6A"/>
    <w:rsid w:val="002A7712"/>
    <w:rsid w:val="002B38F7"/>
    <w:rsid w:val="002B5591"/>
    <w:rsid w:val="002B6AA4"/>
    <w:rsid w:val="002C1FE9"/>
    <w:rsid w:val="002D3A57"/>
    <w:rsid w:val="002D7D05"/>
    <w:rsid w:val="002E20C8"/>
    <w:rsid w:val="002E2C86"/>
    <w:rsid w:val="002E4290"/>
    <w:rsid w:val="002E5B94"/>
    <w:rsid w:val="002E66A6"/>
    <w:rsid w:val="002F0DB1"/>
    <w:rsid w:val="002F12E5"/>
    <w:rsid w:val="002F2885"/>
    <w:rsid w:val="002F3CF1"/>
    <w:rsid w:val="002F45A1"/>
    <w:rsid w:val="0030011C"/>
    <w:rsid w:val="00301C82"/>
    <w:rsid w:val="003037F9"/>
    <w:rsid w:val="0030583E"/>
    <w:rsid w:val="00307FE1"/>
    <w:rsid w:val="003103DC"/>
    <w:rsid w:val="003164BA"/>
    <w:rsid w:val="003223FE"/>
    <w:rsid w:val="003258E6"/>
    <w:rsid w:val="00342283"/>
    <w:rsid w:val="00343A87"/>
    <w:rsid w:val="00344A36"/>
    <w:rsid w:val="003456F4"/>
    <w:rsid w:val="00347FB6"/>
    <w:rsid w:val="00350287"/>
    <w:rsid w:val="003504FD"/>
    <w:rsid w:val="00350881"/>
    <w:rsid w:val="0035110C"/>
    <w:rsid w:val="00357D55"/>
    <w:rsid w:val="00363513"/>
    <w:rsid w:val="003657E5"/>
    <w:rsid w:val="0036589C"/>
    <w:rsid w:val="003704F6"/>
    <w:rsid w:val="00371312"/>
    <w:rsid w:val="00371DC7"/>
    <w:rsid w:val="003765C6"/>
    <w:rsid w:val="00376BF0"/>
    <w:rsid w:val="00377B21"/>
    <w:rsid w:val="003812ED"/>
    <w:rsid w:val="00382BE1"/>
    <w:rsid w:val="00384AD4"/>
    <w:rsid w:val="00386F63"/>
    <w:rsid w:val="00390CE3"/>
    <w:rsid w:val="00394876"/>
    <w:rsid w:val="00394AAF"/>
    <w:rsid w:val="00394CE5"/>
    <w:rsid w:val="003A6341"/>
    <w:rsid w:val="003B173F"/>
    <w:rsid w:val="003B67FD"/>
    <w:rsid w:val="003B6A61"/>
    <w:rsid w:val="003C7706"/>
    <w:rsid w:val="003D42C0"/>
    <w:rsid w:val="003D5B29"/>
    <w:rsid w:val="003D7818"/>
    <w:rsid w:val="003E1245"/>
    <w:rsid w:val="003E2445"/>
    <w:rsid w:val="003E3BB2"/>
    <w:rsid w:val="003E4848"/>
    <w:rsid w:val="003F5B58"/>
    <w:rsid w:val="00401606"/>
    <w:rsid w:val="00401E90"/>
    <w:rsid w:val="0040222A"/>
    <w:rsid w:val="004047BC"/>
    <w:rsid w:val="00406497"/>
    <w:rsid w:val="004100F7"/>
    <w:rsid w:val="00413BAC"/>
    <w:rsid w:val="00414CB3"/>
    <w:rsid w:val="0041563D"/>
    <w:rsid w:val="00420CF5"/>
    <w:rsid w:val="00422874"/>
    <w:rsid w:val="00426B4B"/>
    <w:rsid w:val="00426E25"/>
    <w:rsid w:val="00427D9C"/>
    <w:rsid w:val="00427E7E"/>
    <w:rsid w:val="004433AE"/>
    <w:rsid w:val="00443B6E"/>
    <w:rsid w:val="004521CB"/>
    <w:rsid w:val="0045420A"/>
    <w:rsid w:val="004554D4"/>
    <w:rsid w:val="00461744"/>
    <w:rsid w:val="00464C40"/>
    <w:rsid w:val="00466185"/>
    <w:rsid w:val="004668A7"/>
    <w:rsid w:val="00466D96"/>
    <w:rsid w:val="00467747"/>
    <w:rsid w:val="00473C98"/>
    <w:rsid w:val="00474965"/>
    <w:rsid w:val="00482DF8"/>
    <w:rsid w:val="004864DE"/>
    <w:rsid w:val="00487E53"/>
    <w:rsid w:val="00494BE5"/>
    <w:rsid w:val="004A0EBA"/>
    <w:rsid w:val="004A2538"/>
    <w:rsid w:val="004B0C15"/>
    <w:rsid w:val="004B3020"/>
    <w:rsid w:val="004B35EA"/>
    <w:rsid w:val="004B69E4"/>
    <w:rsid w:val="004B7373"/>
    <w:rsid w:val="004B7389"/>
    <w:rsid w:val="004C2BF4"/>
    <w:rsid w:val="004C4AC8"/>
    <w:rsid w:val="004C6C39"/>
    <w:rsid w:val="004D075F"/>
    <w:rsid w:val="004D1B76"/>
    <w:rsid w:val="004D2F82"/>
    <w:rsid w:val="004D344E"/>
    <w:rsid w:val="004E019E"/>
    <w:rsid w:val="004E06EC"/>
    <w:rsid w:val="004E2CB7"/>
    <w:rsid w:val="004E367A"/>
    <w:rsid w:val="004F016A"/>
    <w:rsid w:val="004F2206"/>
    <w:rsid w:val="004F6E18"/>
    <w:rsid w:val="00500F94"/>
    <w:rsid w:val="00502FB3"/>
    <w:rsid w:val="00503DE9"/>
    <w:rsid w:val="0050530C"/>
    <w:rsid w:val="00505DEA"/>
    <w:rsid w:val="00507782"/>
    <w:rsid w:val="00512A04"/>
    <w:rsid w:val="00515BD7"/>
    <w:rsid w:val="00516672"/>
    <w:rsid w:val="005249F5"/>
    <w:rsid w:val="005260F7"/>
    <w:rsid w:val="00532D48"/>
    <w:rsid w:val="0053310C"/>
    <w:rsid w:val="00543BD1"/>
    <w:rsid w:val="00545699"/>
    <w:rsid w:val="0054684F"/>
    <w:rsid w:val="00546D7E"/>
    <w:rsid w:val="00550752"/>
    <w:rsid w:val="00554706"/>
    <w:rsid w:val="00556113"/>
    <w:rsid w:val="00564C12"/>
    <w:rsid w:val="005654B8"/>
    <w:rsid w:val="0057377F"/>
    <w:rsid w:val="005762CC"/>
    <w:rsid w:val="00582D3D"/>
    <w:rsid w:val="005854DA"/>
    <w:rsid w:val="00586E3B"/>
    <w:rsid w:val="00592AD3"/>
    <w:rsid w:val="00595386"/>
    <w:rsid w:val="00596D6E"/>
    <w:rsid w:val="005A0313"/>
    <w:rsid w:val="005A3621"/>
    <w:rsid w:val="005A4AC0"/>
    <w:rsid w:val="005A4E60"/>
    <w:rsid w:val="005A5FDF"/>
    <w:rsid w:val="005A72F8"/>
    <w:rsid w:val="005B0FB7"/>
    <w:rsid w:val="005B122A"/>
    <w:rsid w:val="005B5AC2"/>
    <w:rsid w:val="005C1D3E"/>
    <w:rsid w:val="005C2833"/>
    <w:rsid w:val="005C6FE4"/>
    <w:rsid w:val="005E144D"/>
    <w:rsid w:val="005E1500"/>
    <w:rsid w:val="005E3A43"/>
    <w:rsid w:val="005E51A4"/>
    <w:rsid w:val="005F77C7"/>
    <w:rsid w:val="0060030B"/>
    <w:rsid w:val="00605ADB"/>
    <w:rsid w:val="00620675"/>
    <w:rsid w:val="00622910"/>
    <w:rsid w:val="006433C3"/>
    <w:rsid w:val="00650F5B"/>
    <w:rsid w:val="00652DC0"/>
    <w:rsid w:val="00660584"/>
    <w:rsid w:val="006670D7"/>
    <w:rsid w:val="006719EA"/>
    <w:rsid w:val="00671F13"/>
    <w:rsid w:val="0067400A"/>
    <w:rsid w:val="006747E0"/>
    <w:rsid w:val="006847AD"/>
    <w:rsid w:val="00690862"/>
    <w:rsid w:val="00690B7D"/>
    <w:rsid w:val="0069114B"/>
    <w:rsid w:val="006941DE"/>
    <w:rsid w:val="006A756A"/>
    <w:rsid w:val="006C396A"/>
    <w:rsid w:val="006D1ADA"/>
    <w:rsid w:val="006D66F7"/>
    <w:rsid w:val="006E332D"/>
    <w:rsid w:val="006E3B5D"/>
    <w:rsid w:val="00700230"/>
    <w:rsid w:val="00702618"/>
    <w:rsid w:val="00702D61"/>
    <w:rsid w:val="00705C9D"/>
    <w:rsid w:val="00705F13"/>
    <w:rsid w:val="0071273D"/>
    <w:rsid w:val="00714F1D"/>
    <w:rsid w:val="00715225"/>
    <w:rsid w:val="00720CC6"/>
    <w:rsid w:val="00722DDB"/>
    <w:rsid w:val="00724728"/>
    <w:rsid w:val="00724F98"/>
    <w:rsid w:val="00725414"/>
    <w:rsid w:val="00730B9B"/>
    <w:rsid w:val="0073182E"/>
    <w:rsid w:val="007332FF"/>
    <w:rsid w:val="007372B0"/>
    <w:rsid w:val="00740402"/>
    <w:rsid w:val="007408F5"/>
    <w:rsid w:val="00741EAE"/>
    <w:rsid w:val="00755248"/>
    <w:rsid w:val="0076190B"/>
    <w:rsid w:val="007634EF"/>
    <w:rsid w:val="0076355D"/>
    <w:rsid w:val="00763A2D"/>
    <w:rsid w:val="00774335"/>
    <w:rsid w:val="007761D8"/>
    <w:rsid w:val="00777795"/>
    <w:rsid w:val="00783A57"/>
    <w:rsid w:val="00784C92"/>
    <w:rsid w:val="007859CD"/>
    <w:rsid w:val="007907E4"/>
    <w:rsid w:val="00796461"/>
    <w:rsid w:val="007A6A4F"/>
    <w:rsid w:val="007B03F5"/>
    <w:rsid w:val="007B155F"/>
    <w:rsid w:val="007B59D3"/>
    <w:rsid w:val="007B5C09"/>
    <w:rsid w:val="007B5DA2"/>
    <w:rsid w:val="007C0966"/>
    <w:rsid w:val="007C19E7"/>
    <w:rsid w:val="007C5CFD"/>
    <w:rsid w:val="007C6D9F"/>
    <w:rsid w:val="007D4893"/>
    <w:rsid w:val="007D7697"/>
    <w:rsid w:val="007E3203"/>
    <w:rsid w:val="007E69F5"/>
    <w:rsid w:val="007E70CF"/>
    <w:rsid w:val="007E74A4"/>
    <w:rsid w:val="007F263F"/>
    <w:rsid w:val="007F46EA"/>
    <w:rsid w:val="007F5579"/>
    <w:rsid w:val="007F56F6"/>
    <w:rsid w:val="008002E8"/>
    <w:rsid w:val="008020BD"/>
    <w:rsid w:val="008056E9"/>
    <w:rsid w:val="0080766E"/>
    <w:rsid w:val="008105BE"/>
    <w:rsid w:val="00810E10"/>
    <w:rsid w:val="00811169"/>
    <w:rsid w:val="00813443"/>
    <w:rsid w:val="00815297"/>
    <w:rsid w:val="00817BA1"/>
    <w:rsid w:val="00823022"/>
    <w:rsid w:val="0082634E"/>
    <w:rsid w:val="0082717F"/>
    <w:rsid w:val="008313C4"/>
    <w:rsid w:val="00835434"/>
    <w:rsid w:val="008358C0"/>
    <w:rsid w:val="00842838"/>
    <w:rsid w:val="008518E1"/>
    <w:rsid w:val="00854EC1"/>
    <w:rsid w:val="00855B98"/>
    <w:rsid w:val="0085797F"/>
    <w:rsid w:val="00860804"/>
    <w:rsid w:val="00861DC3"/>
    <w:rsid w:val="00867019"/>
    <w:rsid w:val="008735A9"/>
    <w:rsid w:val="00877D20"/>
    <w:rsid w:val="00881C48"/>
    <w:rsid w:val="00884D72"/>
    <w:rsid w:val="00885590"/>
    <w:rsid w:val="00885B80"/>
    <w:rsid w:val="00885C30"/>
    <w:rsid w:val="00885E9B"/>
    <w:rsid w:val="00886C9D"/>
    <w:rsid w:val="00892A6A"/>
    <w:rsid w:val="00893C96"/>
    <w:rsid w:val="0089500A"/>
    <w:rsid w:val="00897C94"/>
    <w:rsid w:val="008A51A3"/>
    <w:rsid w:val="008A7C12"/>
    <w:rsid w:val="008B03CE"/>
    <w:rsid w:val="008B529E"/>
    <w:rsid w:val="008B7C3D"/>
    <w:rsid w:val="008C17FB"/>
    <w:rsid w:val="008C3A43"/>
    <w:rsid w:val="008D1B00"/>
    <w:rsid w:val="008D2631"/>
    <w:rsid w:val="008D57B8"/>
    <w:rsid w:val="008E0345"/>
    <w:rsid w:val="008E03FC"/>
    <w:rsid w:val="008E510B"/>
    <w:rsid w:val="008E7A93"/>
    <w:rsid w:val="008F1E51"/>
    <w:rsid w:val="008F3693"/>
    <w:rsid w:val="00902B13"/>
    <w:rsid w:val="00911941"/>
    <w:rsid w:val="009138A0"/>
    <w:rsid w:val="00925F0F"/>
    <w:rsid w:val="00930C91"/>
    <w:rsid w:val="00932F6B"/>
    <w:rsid w:val="00942A3C"/>
    <w:rsid w:val="009436FF"/>
    <w:rsid w:val="009468BC"/>
    <w:rsid w:val="0094753E"/>
    <w:rsid w:val="009532B4"/>
    <w:rsid w:val="009616DF"/>
    <w:rsid w:val="00964B22"/>
    <w:rsid w:val="0096542F"/>
    <w:rsid w:val="00967FA7"/>
    <w:rsid w:val="00971645"/>
    <w:rsid w:val="00977919"/>
    <w:rsid w:val="00982E8D"/>
    <w:rsid w:val="00983000"/>
    <w:rsid w:val="009870FA"/>
    <w:rsid w:val="009921C3"/>
    <w:rsid w:val="0099551D"/>
    <w:rsid w:val="009A4E1C"/>
    <w:rsid w:val="009A5897"/>
    <w:rsid w:val="009A5F24"/>
    <w:rsid w:val="009B0B3E"/>
    <w:rsid w:val="009B1913"/>
    <w:rsid w:val="009B2CE0"/>
    <w:rsid w:val="009B6657"/>
    <w:rsid w:val="009B7C35"/>
    <w:rsid w:val="009C198E"/>
    <w:rsid w:val="009C21F1"/>
    <w:rsid w:val="009D0EB5"/>
    <w:rsid w:val="009D14F9"/>
    <w:rsid w:val="009D2B74"/>
    <w:rsid w:val="009D63FF"/>
    <w:rsid w:val="009E175D"/>
    <w:rsid w:val="009E3CC2"/>
    <w:rsid w:val="009F06BD"/>
    <w:rsid w:val="009F2A4D"/>
    <w:rsid w:val="009F3302"/>
    <w:rsid w:val="00A00828"/>
    <w:rsid w:val="00A0133D"/>
    <w:rsid w:val="00A03290"/>
    <w:rsid w:val="00A06BB7"/>
    <w:rsid w:val="00A07490"/>
    <w:rsid w:val="00A10655"/>
    <w:rsid w:val="00A1197C"/>
    <w:rsid w:val="00A12B64"/>
    <w:rsid w:val="00A15C87"/>
    <w:rsid w:val="00A227EE"/>
    <w:rsid w:val="00A22C38"/>
    <w:rsid w:val="00A25193"/>
    <w:rsid w:val="00A26E80"/>
    <w:rsid w:val="00A31AE8"/>
    <w:rsid w:val="00A3739D"/>
    <w:rsid w:val="00A37DDA"/>
    <w:rsid w:val="00A37ED8"/>
    <w:rsid w:val="00A43AF0"/>
    <w:rsid w:val="00A53DA7"/>
    <w:rsid w:val="00A925EC"/>
    <w:rsid w:val="00A929AA"/>
    <w:rsid w:val="00A92B6B"/>
    <w:rsid w:val="00A955A9"/>
    <w:rsid w:val="00AA541E"/>
    <w:rsid w:val="00AB2E8A"/>
    <w:rsid w:val="00AD0DA4"/>
    <w:rsid w:val="00AD16C1"/>
    <w:rsid w:val="00AD4169"/>
    <w:rsid w:val="00AE1009"/>
    <w:rsid w:val="00AE25C6"/>
    <w:rsid w:val="00AE306C"/>
    <w:rsid w:val="00AE5F63"/>
    <w:rsid w:val="00AF28C1"/>
    <w:rsid w:val="00AF3B49"/>
    <w:rsid w:val="00B00667"/>
    <w:rsid w:val="00B02EF1"/>
    <w:rsid w:val="00B05963"/>
    <w:rsid w:val="00B07C97"/>
    <w:rsid w:val="00B07EA1"/>
    <w:rsid w:val="00B11C67"/>
    <w:rsid w:val="00B15754"/>
    <w:rsid w:val="00B15A27"/>
    <w:rsid w:val="00B2046E"/>
    <w:rsid w:val="00B20E8B"/>
    <w:rsid w:val="00B2278C"/>
    <w:rsid w:val="00B257E1"/>
    <w:rsid w:val="00B2599A"/>
    <w:rsid w:val="00B27AC4"/>
    <w:rsid w:val="00B343CC"/>
    <w:rsid w:val="00B3661B"/>
    <w:rsid w:val="00B43C75"/>
    <w:rsid w:val="00B47ABC"/>
    <w:rsid w:val="00B5084A"/>
    <w:rsid w:val="00B606A1"/>
    <w:rsid w:val="00B614F7"/>
    <w:rsid w:val="00B61B26"/>
    <w:rsid w:val="00B675B2"/>
    <w:rsid w:val="00B70DFD"/>
    <w:rsid w:val="00B75CA0"/>
    <w:rsid w:val="00B81261"/>
    <w:rsid w:val="00B8223E"/>
    <w:rsid w:val="00B832AE"/>
    <w:rsid w:val="00B83E5C"/>
    <w:rsid w:val="00B86678"/>
    <w:rsid w:val="00B92F9B"/>
    <w:rsid w:val="00B941B3"/>
    <w:rsid w:val="00B96513"/>
    <w:rsid w:val="00BA1D47"/>
    <w:rsid w:val="00BA66F0"/>
    <w:rsid w:val="00BA6E17"/>
    <w:rsid w:val="00BB2239"/>
    <w:rsid w:val="00BB2AE7"/>
    <w:rsid w:val="00BB6464"/>
    <w:rsid w:val="00BC1BB8"/>
    <w:rsid w:val="00BD7FE1"/>
    <w:rsid w:val="00BE37CA"/>
    <w:rsid w:val="00BE6144"/>
    <w:rsid w:val="00BE635A"/>
    <w:rsid w:val="00BF17E9"/>
    <w:rsid w:val="00BF2ABB"/>
    <w:rsid w:val="00BF5099"/>
    <w:rsid w:val="00BF5345"/>
    <w:rsid w:val="00BF5854"/>
    <w:rsid w:val="00C10F10"/>
    <w:rsid w:val="00C15D4D"/>
    <w:rsid w:val="00C175DC"/>
    <w:rsid w:val="00C22D2B"/>
    <w:rsid w:val="00C237E9"/>
    <w:rsid w:val="00C30171"/>
    <w:rsid w:val="00C309D8"/>
    <w:rsid w:val="00C36E6B"/>
    <w:rsid w:val="00C42085"/>
    <w:rsid w:val="00C43519"/>
    <w:rsid w:val="00C4664B"/>
    <w:rsid w:val="00C51537"/>
    <w:rsid w:val="00C52BC3"/>
    <w:rsid w:val="00C61AFA"/>
    <w:rsid w:val="00C61D64"/>
    <w:rsid w:val="00C62099"/>
    <w:rsid w:val="00C6286A"/>
    <w:rsid w:val="00C64EA3"/>
    <w:rsid w:val="00C67846"/>
    <w:rsid w:val="00C72867"/>
    <w:rsid w:val="00C75E81"/>
    <w:rsid w:val="00C75F52"/>
    <w:rsid w:val="00C800F1"/>
    <w:rsid w:val="00C808B2"/>
    <w:rsid w:val="00C86533"/>
    <w:rsid w:val="00C86609"/>
    <w:rsid w:val="00C92B4C"/>
    <w:rsid w:val="00C938DC"/>
    <w:rsid w:val="00C954F6"/>
    <w:rsid w:val="00C97983"/>
    <w:rsid w:val="00CA6BC5"/>
    <w:rsid w:val="00CB2B75"/>
    <w:rsid w:val="00CC14EB"/>
    <w:rsid w:val="00CC61CD"/>
    <w:rsid w:val="00CD5011"/>
    <w:rsid w:val="00CD5707"/>
    <w:rsid w:val="00CE2078"/>
    <w:rsid w:val="00CE640F"/>
    <w:rsid w:val="00CE76BC"/>
    <w:rsid w:val="00CF540E"/>
    <w:rsid w:val="00D026AB"/>
    <w:rsid w:val="00D02F07"/>
    <w:rsid w:val="00D23346"/>
    <w:rsid w:val="00D27EBE"/>
    <w:rsid w:val="00D36A49"/>
    <w:rsid w:val="00D374F5"/>
    <w:rsid w:val="00D517C6"/>
    <w:rsid w:val="00D54FA4"/>
    <w:rsid w:val="00D572B1"/>
    <w:rsid w:val="00D61006"/>
    <w:rsid w:val="00D635A6"/>
    <w:rsid w:val="00D64806"/>
    <w:rsid w:val="00D67A81"/>
    <w:rsid w:val="00D71D84"/>
    <w:rsid w:val="00D72464"/>
    <w:rsid w:val="00D73183"/>
    <w:rsid w:val="00D768EB"/>
    <w:rsid w:val="00D82D1E"/>
    <w:rsid w:val="00D832D9"/>
    <w:rsid w:val="00D90F00"/>
    <w:rsid w:val="00D94F6B"/>
    <w:rsid w:val="00D975C0"/>
    <w:rsid w:val="00DA19F5"/>
    <w:rsid w:val="00DA5285"/>
    <w:rsid w:val="00DB0160"/>
    <w:rsid w:val="00DB191D"/>
    <w:rsid w:val="00DB4F91"/>
    <w:rsid w:val="00DB5BBC"/>
    <w:rsid w:val="00DC1EF7"/>
    <w:rsid w:val="00DC1F0F"/>
    <w:rsid w:val="00DC3117"/>
    <w:rsid w:val="00DC5DD9"/>
    <w:rsid w:val="00DC6D2D"/>
    <w:rsid w:val="00DD64C2"/>
    <w:rsid w:val="00DE33B5"/>
    <w:rsid w:val="00DE5E18"/>
    <w:rsid w:val="00DE6E01"/>
    <w:rsid w:val="00DF0487"/>
    <w:rsid w:val="00DF5A05"/>
    <w:rsid w:val="00DF5EA4"/>
    <w:rsid w:val="00E01716"/>
    <w:rsid w:val="00E02681"/>
    <w:rsid w:val="00E02792"/>
    <w:rsid w:val="00E034D8"/>
    <w:rsid w:val="00E04CC0"/>
    <w:rsid w:val="00E06F49"/>
    <w:rsid w:val="00E11193"/>
    <w:rsid w:val="00E11B79"/>
    <w:rsid w:val="00E13CF6"/>
    <w:rsid w:val="00E147FC"/>
    <w:rsid w:val="00E15816"/>
    <w:rsid w:val="00E160D5"/>
    <w:rsid w:val="00E239FF"/>
    <w:rsid w:val="00E27D7B"/>
    <w:rsid w:val="00E30556"/>
    <w:rsid w:val="00E30981"/>
    <w:rsid w:val="00E33136"/>
    <w:rsid w:val="00E34D7C"/>
    <w:rsid w:val="00E36C7E"/>
    <w:rsid w:val="00E3723D"/>
    <w:rsid w:val="00E44C89"/>
    <w:rsid w:val="00E470F6"/>
    <w:rsid w:val="00E53E3B"/>
    <w:rsid w:val="00E61BA2"/>
    <w:rsid w:val="00E63864"/>
    <w:rsid w:val="00E6403F"/>
    <w:rsid w:val="00E64725"/>
    <w:rsid w:val="00E647AF"/>
    <w:rsid w:val="00E757FF"/>
    <w:rsid w:val="00E770C4"/>
    <w:rsid w:val="00E84C5A"/>
    <w:rsid w:val="00E861DB"/>
    <w:rsid w:val="00E90E9A"/>
    <w:rsid w:val="00E93406"/>
    <w:rsid w:val="00E956C5"/>
    <w:rsid w:val="00E9579A"/>
    <w:rsid w:val="00E95C39"/>
    <w:rsid w:val="00EA2C39"/>
    <w:rsid w:val="00EA487B"/>
    <w:rsid w:val="00EB0A3C"/>
    <w:rsid w:val="00EB0A96"/>
    <w:rsid w:val="00EB77F9"/>
    <w:rsid w:val="00EC5769"/>
    <w:rsid w:val="00EC7D00"/>
    <w:rsid w:val="00ED0304"/>
    <w:rsid w:val="00ED087C"/>
    <w:rsid w:val="00ED311A"/>
    <w:rsid w:val="00ED6B90"/>
    <w:rsid w:val="00ED7D11"/>
    <w:rsid w:val="00EE38FA"/>
    <w:rsid w:val="00EE3E2C"/>
    <w:rsid w:val="00EE5D23"/>
    <w:rsid w:val="00EE750D"/>
    <w:rsid w:val="00EF0BD7"/>
    <w:rsid w:val="00EF0F7F"/>
    <w:rsid w:val="00EF3CA4"/>
    <w:rsid w:val="00EF5E1F"/>
    <w:rsid w:val="00EF7859"/>
    <w:rsid w:val="00F014DA"/>
    <w:rsid w:val="00F02591"/>
    <w:rsid w:val="00F03D81"/>
    <w:rsid w:val="00F14273"/>
    <w:rsid w:val="00F21BF2"/>
    <w:rsid w:val="00F33174"/>
    <w:rsid w:val="00F40DD8"/>
    <w:rsid w:val="00F47483"/>
    <w:rsid w:val="00F50919"/>
    <w:rsid w:val="00F561D6"/>
    <w:rsid w:val="00F5696E"/>
    <w:rsid w:val="00F60EFF"/>
    <w:rsid w:val="00F67D2D"/>
    <w:rsid w:val="00F709C9"/>
    <w:rsid w:val="00F70BCA"/>
    <w:rsid w:val="00F82C68"/>
    <w:rsid w:val="00F860CC"/>
    <w:rsid w:val="00F90858"/>
    <w:rsid w:val="00F94398"/>
    <w:rsid w:val="00FA4629"/>
    <w:rsid w:val="00FB0845"/>
    <w:rsid w:val="00FB25F9"/>
    <w:rsid w:val="00FB2B56"/>
    <w:rsid w:val="00FB4E3A"/>
    <w:rsid w:val="00FC12BF"/>
    <w:rsid w:val="00FC1A7C"/>
    <w:rsid w:val="00FC2C60"/>
    <w:rsid w:val="00FC529F"/>
    <w:rsid w:val="00FC64AB"/>
    <w:rsid w:val="00FD3E6F"/>
    <w:rsid w:val="00FD51B9"/>
    <w:rsid w:val="00FE2A39"/>
    <w:rsid w:val="00FE2EF6"/>
    <w:rsid w:val="00FE3140"/>
    <w:rsid w:val="00FE425B"/>
    <w:rsid w:val="00FE47AF"/>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57D96"/>
  <w15:docId w15:val="{6CE2973B-CA91-4A15-9831-2DE866EC0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3A43"/>
    <w:rPr>
      <w:rFonts w:ascii="Lato" w:hAnsi="Lato"/>
    </w:rPr>
  </w:style>
  <w:style w:type="paragraph" w:styleId="Heading1">
    <w:name w:val="heading 1"/>
    <w:basedOn w:val="Normal"/>
    <w:next w:val="Normal"/>
    <w:link w:val="Heading1Char"/>
    <w:uiPriority w:val="2"/>
    <w:qFormat/>
    <w:rsid w:val="00A43AF0"/>
    <w:p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A43AF0"/>
    <w:pPr>
      <w:spacing w:before="240"/>
      <w:outlineLvl w:val="1"/>
    </w:pPr>
    <w:rPr>
      <w:rFonts w:asciiTheme="majorHAnsi" w:eastAsiaTheme="majorEastAsia" w:hAnsiTheme="majorHAnsi" w:cstheme="majorBidi"/>
      <w:bCs/>
      <w:iCs/>
      <w:noProof/>
      <w:color w:val="454347"/>
      <w:sz w:val="32"/>
      <w:szCs w:val="32"/>
    </w:rPr>
  </w:style>
  <w:style w:type="paragraph" w:styleId="Heading3">
    <w:name w:val="heading 3"/>
    <w:basedOn w:val="Normal"/>
    <w:next w:val="Normal"/>
    <w:link w:val="Heading3Char"/>
    <w:uiPriority w:val="2"/>
    <w:qFormat/>
    <w:rsid w:val="001C3C59"/>
    <w:pPr>
      <w:numPr>
        <w:ilvl w:val="2"/>
        <w:numId w:val="11"/>
      </w:num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1C3C59"/>
    <w:pPr>
      <w:numPr>
        <w:ilvl w:val="3"/>
        <w:numId w:val="11"/>
      </w:numPr>
      <w:spacing w:before="24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1C3C59"/>
    <w:pPr>
      <w:numPr>
        <w:ilvl w:val="4"/>
        <w:numId w:val="11"/>
      </w:num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1C3C59"/>
    <w:pPr>
      <w:numPr>
        <w:ilvl w:val="5"/>
        <w:numId w:val="11"/>
      </w:num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1C3C59"/>
    <w:pPr>
      <w:numPr>
        <w:ilvl w:val="6"/>
        <w:numId w:val="11"/>
      </w:numPr>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1C3C59"/>
    <w:pPr>
      <w:numPr>
        <w:ilvl w:val="7"/>
        <w:numId w:val="11"/>
      </w:num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1C3C59"/>
    <w:pPr>
      <w:numPr>
        <w:ilvl w:val="8"/>
        <w:numId w:val="3"/>
      </w:num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A43AF0"/>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A43AF0"/>
    <w:rPr>
      <w:rFonts w:asciiTheme="majorHAnsi" w:eastAsiaTheme="majorEastAsia" w:hAnsiTheme="majorHAnsi" w:cstheme="majorBidi"/>
      <w:bCs/>
      <w:iCs/>
      <w:noProof/>
      <w:color w:val="454347"/>
      <w:sz w:val="32"/>
      <w:szCs w:val="32"/>
    </w:rPr>
  </w:style>
  <w:style w:type="paragraph" w:styleId="Title">
    <w:name w:val="Title"/>
    <w:basedOn w:val="Normal"/>
    <w:next w:val="Normal"/>
    <w:link w:val="TitleChar"/>
    <w:qFormat/>
    <w:rsid w:val="009C198E"/>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9C198E"/>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82717F"/>
    <w:rPr>
      <w:rFonts w:asciiTheme="majorHAnsi" w:hAnsiTheme="majorHAnsi" w:cs="Arial"/>
      <w:bCs/>
      <w:color w:val="1F1F5F"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rsid w:val="00690862"/>
    <w:pPr>
      <w:tabs>
        <w:tab w:val="right" w:pos="10318"/>
      </w:tabs>
      <w:spacing w:after="240"/>
      <w:jc w:val="right"/>
    </w:pPr>
  </w:style>
  <w:style w:type="character" w:customStyle="1" w:styleId="HeaderChar">
    <w:name w:val="Header Char"/>
    <w:aliases w:val="Page header Char"/>
    <w:basedOn w:val="DefaultParagraphFont"/>
    <w:link w:val="Header"/>
    <w:rsid w:val="00690862"/>
    <w:rPr>
      <w:rFonts w:ascii="Lato" w:hAnsi="Lato"/>
    </w:rPr>
  </w:style>
  <w:style w:type="paragraph" w:styleId="Footer">
    <w:name w:val="footer"/>
    <w:basedOn w:val="Normal"/>
    <w:link w:val="FooterChar"/>
    <w:uiPriority w:val="99"/>
    <w:semiHidden/>
    <w:rsid w:val="00B02EF1"/>
    <w:pPr>
      <w:tabs>
        <w:tab w:val="center" w:pos="4513"/>
        <w:tab w:val="right" w:pos="9026"/>
      </w:tabs>
      <w:spacing w:after="0"/>
    </w:pPr>
  </w:style>
  <w:style w:type="character" w:customStyle="1" w:styleId="FooterChar">
    <w:name w:val="Footer Char"/>
    <w:basedOn w:val="DefaultParagraphFont"/>
    <w:link w:val="Footer"/>
    <w:uiPriority w:val="99"/>
    <w:semiHidden/>
    <w:rsid w:val="00595386"/>
    <w:rPr>
      <w:rFonts w:ascii="Arial" w:eastAsia="Times New Roman" w:hAnsi="Arial"/>
      <w:sz w:val="22"/>
      <w:lang w:eastAsia="en-AU"/>
    </w:rPr>
  </w:style>
  <w:style w:type="paragraph" w:customStyle="1" w:styleId="Subtitle0">
    <w:name w:val="Sub title"/>
    <w:basedOn w:val="Normal"/>
    <w:uiPriority w:val="1"/>
    <w:qFormat/>
    <w:rsid w:val="007634EF"/>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82717F"/>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3B6A61"/>
    <w:pPr>
      <w:spacing w:after="12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8C3A43"/>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8C3A43"/>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8C3A43"/>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8C3A43"/>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8C3A43"/>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8"/>
      </w:numPr>
      <w:spacing w:after="120"/>
      <w:ind w:left="0" w:firstLine="0"/>
    </w:pPr>
  </w:style>
  <w:style w:type="paragraph" w:styleId="ListBullet2">
    <w:name w:val="List Bullet 2"/>
    <w:aliases w:val="Bullet list level 2"/>
    <w:basedOn w:val="Normal"/>
    <w:uiPriority w:val="4"/>
    <w:semiHidden/>
    <w:rsid w:val="006847AD"/>
    <w:pPr>
      <w:numPr>
        <w:ilvl w:val="1"/>
        <w:numId w:val="8"/>
      </w:numPr>
      <w:spacing w:after="120"/>
    </w:pPr>
  </w:style>
  <w:style w:type="paragraph" w:styleId="ListBullet3">
    <w:name w:val="List Bullet 3"/>
    <w:aliases w:val="Bullet list level 3"/>
    <w:basedOn w:val="Normal"/>
    <w:uiPriority w:val="4"/>
    <w:semiHidden/>
    <w:rsid w:val="006847AD"/>
    <w:pPr>
      <w:numPr>
        <w:ilvl w:val="2"/>
        <w:numId w:val="8"/>
      </w:numPr>
      <w:spacing w:after="120"/>
    </w:pPr>
  </w:style>
  <w:style w:type="paragraph" w:styleId="ListBullet4">
    <w:name w:val="List Bullet 4"/>
    <w:aliases w:val="Bullet list level 4"/>
    <w:basedOn w:val="Normal"/>
    <w:uiPriority w:val="4"/>
    <w:semiHidden/>
    <w:rsid w:val="006847AD"/>
    <w:pPr>
      <w:numPr>
        <w:ilvl w:val="3"/>
        <w:numId w:val="8"/>
      </w:numPr>
      <w:spacing w:after="120"/>
    </w:pPr>
  </w:style>
  <w:style w:type="paragraph" w:styleId="ListBullet5">
    <w:name w:val="List Bullet 5"/>
    <w:aliases w:val="Bullet list level 5"/>
    <w:basedOn w:val="Normal"/>
    <w:uiPriority w:val="4"/>
    <w:semiHidden/>
    <w:rsid w:val="004E2CB7"/>
    <w:pPr>
      <w:numPr>
        <w:ilvl w:val="4"/>
        <w:numId w:val="8"/>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qFormat/>
    <w:rsid w:val="00422874"/>
    <w:pPr>
      <w:spacing w:before="480" w:after="0"/>
      <w:outlineLvl w:val="9"/>
    </w:pPr>
    <w:rPr>
      <w:kern w:val="0"/>
      <w:szCs w:val="28"/>
    </w:rPr>
  </w:style>
  <w:style w:type="paragraph" w:styleId="TOC1">
    <w:name w:val="toc 1"/>
    <w:basedOn w:val="Normal"/>
    <w:next w:val="Normal"/>
    <w:autoRedefine/>
    <w:uiPriority w:val="39"/>
    <w:rsid w:val="002F3CF1"/>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7"/>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4"/>
      </w:numPr>
    </w:pPr>
  </w:style>
  <w:style w:type="paragraph" w:customStyle="1" w:styleId="Tablenumberlistlevel1">
    <w:name w:val="Table number list level 1"/>
    <w:basedOn w:val="Normal"/>
    <w:uiPriority w:val="7"/>
    <w:rsid w:val="00F14273"/>
    <w:pPr>
      <w:numPr>
        <w:numId w:val="6"/>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5"/>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9"/>
      </w:numPr>
    </w:pPr>
  </w:style>
  <w:style w:type="paragraph" w:styleId="Caption">
    <w:name w:val="caption"/>
    <w:basedOn w:val="Normal"/>
    <w:next w:val="Normal"/>
    <w:uiPriority w:val="8"/>
    <w:rsid w:val="000A385C"/>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386F63"/>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sz w:val="22"/>
      </w:rPr>
      <w:tblPr/>
      <w:trPr>
        <w:tblHeader/>
      </w:tr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sz w:val="22"/>
      </w:rPr>
    </w:tblStylePr>
    <w:tblStylePr w:type="band2Vert">
      <w:rPr>
        <w:sz w:val="22"/>
      </w:rPr>
    </w:tblStylePr>
    <w:tblStylePr w:type="band1Horz">
      <w:rPr>
        <w:sz w:val="22"/>
      </w:rPr>
    </w:tblStylePr>
    <w:tblStylePr w:type="band2Horz">
      <w:rPr>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8D2631"/>
    <w:pPr>
      <w:spacing w:after="0"/>
    </w:pPr>
    <w:rPr>
      <w:sz w:val="20"/>
      <w:szCs w:val="20"/>
    </w:rPr>
  </w:style>
  <w:style w:type="character" w:customStyle="1" w:styleId="FootnoteTextChar">
    <w:name w:val="Footnote Text Char"/>
    <w:basedOn w:val="DefaultParagraphFont"/>
    <w:link w:val="FootnoteText"/>
    <w:uiPriority w:val="99"/>
    <w:semiHidden/>
    <w:rsid w:val="008D2631"/>
    <w:rPr>
      <w:rFonts w:ascii="Lato" w:hAnsi="Lato"/>
      <w:sz w:val="20"/>
      <w:szCs w:val="20"/>
    </w:rPr>
  </w:style>
  <w:style w:type="character" w:styleId="FootnoteReference">
    <w:name w:val="footnote reference"/>
    <w:basedOn w:val="DefaultParagraphFont"/>
    <w:uiPriority w:val="99"/>
    <w:semiHidden/>
    <w:unhideWhenUsed/>
    <w:rsid w:val="008D2631"/>
    <w:rPr>
      <w:vertAlign w:val="superscript"/>
    </w:rPr>
  </w:style>
  <w:style w:type="paragraph" w:styleId="EndnoteText">
    <w:name w:val="endnote text"/>
    <w:basedOn w:val="Normal"/>
    <w:link w:val="EndnoteTextChar"/>
    <w:uiPriority w:val="99"/>
    <w:semiHidden/>
    <w:unhideWhenUsed/>
    <w:rsid w:val="000B7F0A"/>
    <w:pPr>
      <w:spacing w:after="0"/>
    </w:pPr>
    <w:rPr>
      <w:sz w:val="20"/>
      <w:szCs w:val="20"/>
    </w:rPr>
  </w:style>
  <w:style w:type="character" w:customStyle="1" w:styleId="EndnoteTextChar">
    <w:name w:val="Endnote Text Char"/>
    <w:basedOn w:val="DefaultParagraphFont"/>
    <w:link w:val="EndnoteText"/>
    <w:uiPriority w:val="99"/>
    <w:semiHidden/>
    <w:rsid w:val="000B7F0A"/>
    <w:rPr>
      <w:rFonts w:ascii="Lato" w:hAnsi="Lato"/>
      <w:sz w:val="20"/>
      <w:szCs w:val="20"/>
    </w:rPr>
  </w:style>
  <w:style w:type="character" w:styleId="EndnoteReference">
    <w:name w:val="endnote reference"/>
    <w:basedOn w:val="DefaultParagraphFont"/>
    <w:uiPriority w:val="99"/>
    <w:semiHidden/>
    <w:unhideWhenUsed/>
    <w:rsid w:val="000B7F0A"/>
    <w:rPr>
      <w:vertAlign w:val="superscript"/>
    </w:rPr>
  </w:style>
  <w:style w:type="character" w:customStyle="1" w:styleId="Regions">
    <w:name w:val="Regions"/>
    <w:basedOn w:val="DefaultParagraphFont"/>
    <w:uiPriority w:val="1"/>
    <w:rsid w:val="00A15C87"/>
    <w:rPr>
      <w:color w:val="4D4D4D"/>
      <w:sz w:val="20"/>
    </w:rPr>
  </w:style>
  <w:style w:type="table" w:customStyle="1" w:styleId="ListTable31">
    <w:name w:val="List Table 31"/>
    <w:basedOn w:val="TableNormal"/>
    <w:next w:val="ListTable3"/>
    <w:uiPriority w:val="48"/>
    <w:rsid w:val="00813443"/>
    <w:pPr>
      <w:spacing w:after="0"/>
    </w:pPr>
    <w:tblPr>
      <w:tblStyleRowBandSize w:val="1"/>
      <w:tblStyleColBandSize w:val="1"/>
      <w:tblBorders>
        <w:top w:val="single" w:sz="4" w:space="0" w:color="1F1F5F"/>
        <w:left w:val="single" w:sz="4" w:space="0" w:color="1F1F5F"/>
        <w:bottom w:val="single" w:sz="4" w:space="0" w:color="1F1F5F"/>
        <w:right w:val="single" w:sz="4" w:space="0" w:color="1F1F5F"/>
      </w:tblBorders>
    </w:tblPr>
    <w:tblStylePr w:type="firstRow">
      <w:rPr>
        <w:b/>
        <w:bCs/>
        <w:color w:val="FFFFFF"/>
      </w:rPr>
      <w:tblPr/>
      <w:tcPr>
        <w:shd w:val="clear" w:color="auto" w:fill="1F1F5F"/>
      </w:tcPr>
    </w:tblStylePr>
    <w:tblStylePr w:type="lastRow">
      <w:rPr>
        <w:b/>
        <w:bCs/>
      </w:rPr>
      <w:tblPr/>
      <w:tcPr>
        <w:tcBorders>
          <w:top w:val="double" w:sz="4" w:space="0" w:color="1F1F5F"/>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F1F5F"/>
          <w:right w:val="single" w:sz="4" w:space="0" w:color="1F1F5F"/>
        </w:tcBorders>
      </w:tcPr>
    </w:tblStylePr>
    <w:tblStylePr w:type="band1Horz">
      <w:tblPr/>
      <w:tcPr>
        <w:tcBorders>
          <w:top w:val="single" w:sz="4" w:space="0" w:color="1F1F5F"/>
          <w:bottom w:val="single" w:sz="4" w:space="0" w:color="1F1F5F"/>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1F5F"/>
          <w:left w:val="nil"/>
        </w:tcBorders>
      </w:tcPr>
    </w:tblStylePr>
    <w:tblStylePr w:type="swCell">
      <w:tblPr/>
      <w:tcPr>
        <w:tcBorders>
          <w:top w:val="double" w:sz="4" w:space="0" w:color="1F1F5F"/>
          <w:right w:val="nil"/>
        </w:tcBorders>
      </w:tcPr>
    </w:tblStylePr>
  </w:style>
  <w:style w:type="table" w:styleId="ListTable3">
    <w:name w:val="List Table 3"/>
    <w:basedOn w:val="TableNormal"/>
    <w:uiPriority w:val="48"/>
    <w:rsid w:val="00813443"/>
    <w:pPr>
      <w:spacing w:after="0"/>
    </w:p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tblBorders>
    </w:tblPr>
    <w:tblStylePr w:type="firstRow">
      <w:rPr>
        <w:b/>
        <w:bCs/>
        <w:color w:val="FFFFFF" w:themeColor="background1"/>
      </w:rPr>
      <w:tblPr/>
      <w:tcPr>
        <w:shd w:val="clear" w:color="auto" w:fill="1F1F5F" w:themeFill="text1"/>
      </w:tcPr>
    </w:tblStylePr>
    <w:tblStylePr w:type="lastRow">
      <w:rPr>
        <w:b/>
        <w:bCs/>
      </w:rPr>
      <w:tblPr/>
      <w:tcPr>
        <w:tcBorders>
          <w:top w:val="double" w:sz="4" w:space="0" w:color="1F1F5F"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F1F5F" w:themeColor="text1"/>
          <w:right w:val="single" w:sz="4" w:space="0" w:color="1F1F5F" w:themeColor="text1"/>
        </w:tcBorders>
      </w:tcPr>
    </w:tblStylePr>
    <w:tblStylePr w:type="band1Horz">
      <w:tblPr/>
      <w:tcPr>
        <w:tcBorders>
          <w:top w:val="single" w:sz="4" w:space="0" w:color="1F1F5F" w:themeColor="text1"/>
          <w:bottom w:val="single" w:sz="4" w:space="0" w:color="1F1F5F"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F1F5F" w:themeColor="text1"/>
          <w:left w:val="nil"/>
        </w:tcBorders>
      </w:tcPr>
    </w:tblStylePr>
    <w:tblStylePr w:type="swCell">
      <w:tblPr/>
      <w:tcPr>
        <w:tcBorders>
          <w:top w:val="double" w:sz="4" w:space="0" w:color="1F1F5F" w:themeColor="text1"/>
          <w:right w:val="nil"/>
        </w:tcBorders>
      </w:tcPr>
    </w:tblStylePr>
  </w:style>
  <w:style w:type="paragraph" w:styleId="BalloonText">
    <w:name w:val="Balloon Text"/>
    <w:basedOn w:val="Normal"/>
    <w:link w:val="BalloonTextChar"/>
    <w:uiPriority w:val="99"/>
    <w:semiHidden/>
    <w:unhideWhenUsed/>
    <w:rsid w:val="00D6100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006"/>
    <w:rPr>
      <w:rFonts w:ascii="Segoe UI" w:hAnsi="Segoe UI" w:cs="Segoe UI"/>
      <w:sz w:val="18"/>
      <w:szCs w:val="18"/>
    </w:rPr>
  </w:style>
  <w:style w:type="table" w:customStyle="1" w:styleId="NTGtable12">
    <w:name w:val="NTG table 12"/>
    <w:basedOn w:val="TableNormal"/>
    <w:uiPriority w:val="99"/>
    <w:rsid w:val="00942A3C"/>
    <w:pPr>
      <w:spacing w:before="40" w:after="40"/>
    </w:pPr>
    <w:rPr>
      <w:rFonts w:ascii="Lato" w:hAnsi="Lato" w:cs="Arial"/>
    </w:rPr>
    <w:tblPr>
      <w:tblStyleRowBandSize w:val="1"/>
      <w:tblStyleColBandSize w:val="1"/>
      <w:tblInd w:w="0" w:type="nil"/>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szCs w:val="22"/>
      </w:rPr>
      <w:tblPr/>
      <w:tcPr>
        <w:shd w:val="clear" w:color="auto" w:fill="1F1F5F" w:themeFill="text1"/>
      </w:tcPr>
    </w:tblStylePr>
    <w:tblStylePr w:type="lastRow">
      <w:rPr>
        <w:b/>
        <w:sz w:val="22"/>
        <w:szCs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szCs w:val="22"/>
      </w:rPr>
    </w:tblStylePr>
    <w:tblStylePr w:type="lastCol">
      <w:rPr>
        <w:sz w:val="22"/>
        <w:szCs w:val="22"/>
      </w:rPr>
    </w:tblStylePr>
    <w:tblStylePr w:type="band1Vert">
      <w:rPr>
        <w:rFonts w:ascii="Lato" w:hAnsi="Lato" w:hint="default"/>
        <w:sz w:val="22"/>
        <w:szCs w:val="22"/>
      </w:rPr>
    </w:tblStylePr>
    <w:tblStylePr w:type="band2Vert">
      <w:rPr>
        <w:rFonts w:ascii="Lato" w:hAnsi="Lato" w:hint="default"/>
        <w:sz w:val="22"/>
        <w:szCs w:val="22"/>
      </w:rPr>
    </w:tblStylePr>
    <w:tblStylePr w:type="band1Horz">
      <w:rPr>
        <w:rFonts w:ascii="Lato" w:hAnsi="Lato" w:hint="default"/>
        <w:sz w:val="22"/>
        <w:szCs w:val="22"/>
      </w:rPr>
    </w:tblStylePr>
    <w:tblStylePr w:type="band2Horz">
      <w:rPr>
        <w:rFonts w:ascii="Lato" w:hAnsi="Lato" w:hint="default"/>
        <w:sz w:val="22"/>
        <w:szCs w:val="22"/>
      </w:rPr>
      <w:tblPr/>
      <w:tcPr>
        <w:shd w:val="clear" w:color="auto" w:fill="D9D9D9" w:themeFill="background1" w:themeFillShade="D9"/>
      </w:tcPr>
    </w:tblStylePr>
    <w:tblStylePr w:type="neCell">
      <w:rPr>
        <w:sz w:val="22"/>
        <w:szCs w:val="22"/>
      </w:rPr>
    </w:tblStylePr>
    <w:tblStylePr w:type="nwCell">
      <w:rPr>
        <w:sz w:val="22"/>
        <w:szCs w:val="22"/>
      </w:rPr>
    </w:tblStylePr>
    <w:tblStylePr w:type="seCell">
      <w:rPr>
        <w:sz w:val="22"/>
        <w:szCs w:val="22"/>
      </w:rPr>
    </w:tblStylePr>
    <w:tblStylePr w:type="swCell">
      <w:rPr>
        <w:sz w:val="22"/>
        <w:szCs w:val="22"/>
      </w:rPr>
    </w:tblStylePr>
  </w:style>
  <w:style w:type="table" w:customStyle="1" w:styleId="TableGrid1">
    <w:name w:val="Table Grid1"/>
    <w:basedOn w:val="TableNormal"/>
    <w:next w:val="TableGrid"/>
    <w:rsid w:val="00D73183"/>
    <w:pPr>
      <w:spacing w:after="0"/>
    </w:pPr>
    <w:rPr>
      <w:rFonts w:ascii="Times New Roman" w:eastAsia="Times New Roman" w:hAnsi="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73183"/>
    <w:rPr>
      <w:rFonts w:ascii="Lato" w:eastAsiaTheme="minorEastAsia" w:hAnsi="Lato"/>
      <w:iCs/>
    </w:rPr>
  </w:style>
  <w:style w:type="paragraph" w:customStyle="1" w:styleId="BodyHeading">
    <w:name w:val="Body Heading"/>
    <w:basedOn w:val="Normal"/>
    <w:link w:val="BodyHeadingChar"/>
    <w:qFormat/>
    <w:rsid w:val="00A43AF0"/>
    <w:rPr>
      <w:rFonts w:ascii="Lato Semibold" w:eastAsiaTheme="majorEastAsia" w:hAnsi="Lato Semibold" w:cstheme="majorBidi"/>
      <w:color w:val="1F1F5F" w:themeColor="text1"/>
      <w:kern w:val="32"/>
      <w:sz w:val="36"/>
      <w:szCs w:val="32"/>
    </w:rPr>
  </w:style>
  <w:style w:type="character" w:customStyle="1" w:styleId="BodyHeadingChar">
    <w:name w:val="Body Heading Char"/>
    <w:basedOn w:val="Heading1Char"/>
    <w:link w:val="BodyHeading"/>
    <w:rsid w:val="00A43AF0"/>
    <w:rPr>
      <w:rFonts w:ascii="Lato Semibold" w:eastAsiaTheme="majorEastAsia" w:hAnsi="Lato Semibold" w:cstheme="majorBidi"/>
      <w:bCs w:val="0"/>
      <w:color w:val="1F1F5F" w:themeColor="text1"/>
      <w:kern w:val="32"/>
      <w:sz w:val="36"/>
      <w:szCs w:val="32"/>
    </w:rPr>
  </w:style>
  <w:style w:type="character" w:styleId="FollowedHyperlink">
    <w:name w:val="FollowedHyperlink"/>
    <w:basedOn w:val="DefaultParagraphFont"/>
    <w:uiPriority w:val="99"/>
    <w:semiHidden/>
    <w:unhideWhenUsed/>
    <w:rsid w:val="00A43AF0"/>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21258449">
      <w:bodyDiv w:val="1"/>
      <w:marLeft w:val="0"/>
      <w:marRight w:val="0"/>
      <w:marTop w:val="0"/>
      <w:marBottom w:val="0"/>
      <w:divBdr>
        <w:top w:val="none" w:sz="0" w:space="0" w:color="auto"/>
        <w:left w:val="none" w:sz="0" w:space="0" w:color="auto"/>
        <w:bottom w:val="none" w:sz="0" w:space="0" w:color="auto"/>
        <w:right w:val="none" w:sz="0" w:space="0" w:color="auto"/>
      </w:divBdr>
    </w:div>
    <w:div w:id="509294665">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country.health.wa.gov.au/~/media/WACHS/Documents/About-us/Policies/Search-and-Seizure-Procedure---Broome-Mental-Health-Inpatient-Unit.pdf?thn=0" TargetMode="External"/><Relationship Id="rId18" Type="http://schemas.openxmlformats.org/officeDocument/2006/relationships/hyperlink" Target="https://legislation.nt.gov.au/en/LegislationPortal/Acts/By-Title"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safetyandquality.gov.au/our-work/mental-health/national-standards-in-mental-health"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legislation.nt.gov.au/Legislation/POLICE-ADMINISTRATION-ACT-1978"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legislation.nt.gov.au/Legislation/WEAPONS-CONTROL-ACT-2001" TargetMode="External"/><Relationship Id="rId20" Type="http://schemas.openxmlformats.org/officeDocument/2006/relationships/hyperlink" Target="https://www.achs.org.au/programs-services/equip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legislation.nt.gov.au/Legislation/MISUSE-OF-DRUGS-ACT-1990"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safetyandquality.gov.au/standards/nsqhs-standard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pfes.nt.gov.au/file/download/35819" TargetMode="External"/><Relationship Id="rId22" Type="http://schemas.openxmlformats.org/officeDocument/2006/relationships/hyperlink" Target="https://www.dss.gov.au/our-responsibilities/disability-and-carers/standards-and-quality-assurance/national-standards-for-disability-services"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s\Desktop\Procedure%20Template.DOTX" TargetMode="External"/></Relationships>
</file>

<file path=word/theme/theme1.xml><?xml version="1.0" encoding="utf-8"?>
<a:theme xmlns:a="http://schemas.openxmlformats.org/drawingml/2006/main" name="NTG branding">
  <a:themeElements>
    <a:clrScheme name="NTG brand colours">
      <a:dk1>
        <a:srgbClr val="1F1F5F"/>
      </a:dk1>
      <a:lt1>
        <a:sysClr val="window" lastClr="FFFFFF"/>
      </a:lt1>
      <a:dk2>
        <a:srgbClr val="CB6015"/>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&lt;Date Month Year&gt;</PublishDate>
  <Abstract/>
  <CompanyAddress/>
  <CompanyPhone/>
  <CompanyFax/>
  <CompanyEmail/>
</CoverPage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a370848d13b453ca9638f41cf16417b xmlns="0b1b15de-2562-41e7-875a-96f32466411d">
      <Terms xmlns="http://schemas.microsoft.com/office/infopath/2007/PartnerControls">
        <TermInfo xmlns="http://schemas.microsoft.com/office/infopath/2007/PartnerControls">
          <TermName xmlns="http://schemas.microsoft.com/office/infopath/2007/PartnerControls">Health Policy Guidelines Program</TermName>
          <TermId xmlns="http://schemas.microsoft.com/office/infopath/2007/PartnerControls">ddc63601-1995-4c07-8f17-4bd729fbafc7</TermId>
        </TermInfo>
      </Terms>
    </ea370848d13b453ca9638f41cf16417b>
    <TaxCatchAll xmlns="0b1b15de-2562-41e7-875a-96f32466411d">
      <Value>20172</Value>
      <Value>12822</Value>
      <Value>12828</Value>
      <Value>13069</Value>
    </TaxCatchAll>
    <c7f404058a9e4bddb391ce5f78425d16 xmlns="0b1b15de-2562-41e7-875a-96f32466411d">
      <Terms xmlns="http://schemas.microsoft.com/office/infopath/2007/PartnerControls">
        <TermInfo xmlns="http://schemas.microsoft.com/office/infopath/2007/PartnerControls">
          <TermName xmlns="http://schemas.microsoft.com/office/infopath/2007/PartnerControls">Templates - Use of</TermName>
          <TermId xmlns="http://schemas.microsoft.com/office/infopath/2007/PartnerControls">6c5dcabf-8c0a-4cce-9a12-605473aa2263</TermId>
        </TermInfo>
      </Terms>
    </c7f404058a9e4bddb391ce5f78425d16>
    <l99f90e11f684e1a913bb42ea974952d xmlns="0b1b15de-2562-41e7-875a-96f32466411d">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07fc28ea-2ce2-44e7-988a-323bb7d24675</TermId>
        </TermInfo>
      </Terms>
    </l99f90e11f684e1a913bb42ea974952d>
    <EDRM_x0020_Number xmlns="0b1b15de-2562-41e7-875a-96f32466411d">EDOC2022/188842</EDRM_x0020_Number>
    <Due_x0020_for_x0020_Review xmlns="0b1b15de-2562-41e7-875a-96f32466411d">2024-08-04T14:30:00+00:00</Due_x0020_for_x0020_Review>
    <_dlc_DocId xmlns="0b1b15de-2562-41e7-875a-96f32466411d">HEALTHINTRA-934185346-12153</_dlc_DocId>
    <_dlc_DocIdUrl xmlns="0b1b15de-2562-41e7-875a-96f32466411d">
      <Url>http://internal.health.nt.gov.au/_layouts/15/DocIdRedir.aspx?ID=HEALTHINTRA-934185346-12153</Url>
      <Description>HEALTHINTRA-934185346-12153</Description>
    </_dlc_DocIdUrl>
    <PGC_x0020_Comments xmlns="63dc155e-5293-47fd-b4de-5ec72ff46142" xsi:nil="true"/>
    <DHF_x0020_Comments xmlns="0b1b15de-2562-41e7-875a-96f32466411d" xsi:nil="true"/>
    <ARCHIVE xmlns="63dc155e-5293-47fd-b4de-5ec72ff46142">NO</ARCHIVE>
    <DHF_x0020_Keywords xmlns="0b1b15de-2562-41e7-875a-96f32466411d"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ntranet Documents" ma:contentTypeID="0x01010017D5CB0FD33D89488125ECFD1C120AC4000DE8EA5642C729408A5A5C43F631AF4F" ma:contentTypeVersion="39" ma:contentTypeDescription="For the use of the Site Collection documents" ma:contentTypeScope="" ma:versionID="6652f29de21d258522a7b5aea2cb0fee">
  <xsd:schema xmlns:xsd="http://www.w3.org/2001/XMLSchema" xmlns:xs="http://www.w3.org/2001/XMLSchema" xmlns:p="http://schemas.microsoft.com/office/2006/metadata/properties" xmlns:ns2="0b1b15de-2562-41e7-875a-96f32466411d" xmlns:ns3="63dc155e-5293-47fd-b4de-5ec72ff46142" targetNamespace="http://schemas.microsoft.com/office/2006/metadata/properties" ma:root="true" ma:fieldsID="5075065d95e81a06d1e1a7dd8b0e5985" ns2:_="" ns3:_="">
    <xsd:import namespace="0b1b15de-2562-41e7-875a-96f32466411d"/>
    <xsd:import namespace="63dc155e-5293-47fd-b4de-5ec72ff46142"/>
    <xsd:element name="properties">
      <xsd:complexType>
        <xsd:sequence>
          <xsd:element name="documentManagement">
            <xsd:complexType>
              <xsd:all>
                <xsd:element ref="ns2:Due_x0020_for_x0020_Review"/>
                <xsd:element ref="ns2:EDRM_x0020_Number" minOccurs="0"/>
                <xsd:element ref="ns2:DHF_x0020_Comments" minOccurs="0"/>
                <xsd:element ref="ns2:DHF_x0020_Keywords" minOccurs="0"/>
                <xsd:element ref="ns2:_dlc_DocIdPersistId" minOccurs="0"/>
                <xsd:element ref="ns3:PGC_x0020_Comments" minOccurs="0"/>
                <xsd:element ref="ns2:ea370848d13b453ca9638f41cf16417b" minOccurs="0"/>
                <xsd:element ref="ns2:TaxCatchAll" minOccurs="0"/>
                <xsd:element ref="ns2:TaxCatchAllLabel" minOccurs="0"/>
                <xsd:element ref="ns2:_dlc_DocId" minOccurs="0"/>
                <xsd:element ref="ns2:c7f404058a9e4bddb391ce5f78425d16" minOccurs="0"/>
                <xsd:element ref="ns2:l99f90e11f684e1a913bb42ea974952d" minOccurs="0"/>
                <xsd:element ref="ns2:_dlc_DocIdUrl" minOccurs="0"/>
                <xsd:element ref="ns3:ARCHI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b15de-2562-41e7-875a-96f32466411d" elementFormDefault="qualified">
    <xsd:import namespace="http://schemas.microsoft.com/office/2006/documentManagement/types"/>
    <xsd:import namespace="http://schemas.microsoft.com/office/infopath/2007/PartnerControls"/>
    <xsd:element name="Due_x0020_for_x0020_Review" ma:index="5" ma:displayName="Due for Review." ma:description="Select the day by which the document should be reviewed." ma:format="DateOnly" ma:internalName="Due_x0020_for_x0020_Review">
      <xsd:simpleType>
        <xsd:restriction base="dms:DateTime"/>
      </xsd:simpleType>
    </xsd:element>
    <xsd:element name="EDRM_x0020_Number" ma:index="6" nillable="true" ma:displayName="EDOC Number." ma:description="Document reference in TRM." ma:internalName="EDRM_x0020_Number">
      <xsd:simpleType>
        <xsd:restriction base="dms:Text">
          <xsd:maxLength value="255"/>
        </xsd:restriction>
      </xsd:simpleType>
    </xsd:element>
    <xsd:element name="DHF_x0020_Comments" ma:index="7" nillable="true" ma:displayName="NT Health Comments" ma:internalName="DHF_x0020_Comments" ma:readOnly="false">
      <xsd:simpleType>
        <xsd:restriction base="dms:Note">
          <xsd:maxLength value="255"/>
        </xsd:restriction>
      </xsd:simpleType>
    </xsd:element>
    <xsd:element name="DHF_x0020_Keywords" ma:index="8" nillable="true" ma:displayName="NT Health Keywords" ma:indexed="true" ma:internalName="DHF_x0020_Keywords" ma:readOnly="false">
      <xsd:simpleType>
        <xsd:restriction base="dms:Text">
          <xsd:maxLength value="255"/>
        </xsd:restriction>
      </xsd:simpleType>
    </xsd:element>
    <xsd:element name="_dlc_DocIdPersistId" ma:index="9" nillable="true" ma:displayName="Persist ID" ma:description="Keep ID on add." ma:hidden="true" ma:internalName="_dlc_DocIdPersistId" ma:readOnly="true">
      <xsd:simpleType>
        <xsd:restriction base="dms:Boolean"/>
      </xsd:simpleType>
    </xsd:element>
    <xsd:element name="ea370848d13b453ca9638f41cf16417b" ma:index="15" ma:taxonomy="true" ma:internalName="ea370848d13b453ca9638f41cf16417b" ma:taxonomyFieldName="Organisational_x002F_Business_x0020_Unit_x0020_Owner" ma:displayName="Organisational/Business Unit Owner." ma:indexed="true" ma:default="" ma:fieldId="{ea370848-d13b-453c-a963-8f41cf16417b}" ma:sspId="3d175327-6c8e-4629-9a24-c5915f27c813" ma:termSetId="26425fa0-e0c9-4fa4-ba6e-f3e5e976a9cf" ma:anchorId="00000000-0000-0000-0000-000000000000" ma:open="false" ma:isKeyword="false">
      <xsd:complexType>
        <xsd:sequence>
          <xsd:element ref="pc:Terms" minOccurs="0" maxOccurs="1"/>
        </xsd:sequence>
      </xsd:complexType>
    </xsd:element>
    <xsd:element name="TaxCatchAll" ma:index="16" nillable="true" ma:displayName="Taxonomy Catch All Column" ma:hidden="true" ma:list="{bb15f5bc-b9f8-45d6-b4c7-9197c564f93a}" ma:internalName="TaxCatchAll" ma:showField="CatchAllData"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bb15f5bc-b9f8-45d6-b4c7-9197c564f93a}" ma:internalName="TaxCatchAllLabel" ma:readOnly="true" ma:showField="CatchAllDataLabel" ma:web="0b1b15de-2562-41e7-875a-96f32466411d">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c7f404058a9e4bddb391ce5f78425d16" ma:index="19" nillable="true" ma:taxonomy="true" ma:internalName="c7f404058a9e4bddb391ce5f78425d16" ma:taxonomyFieldName="Administrative_x0020_Topic_x002e_" ma:displayName="Administrative Topic." ma:default="" ma:fieldId="{c7f40405-8a9e-4bdd-b391-ce5f78425d16}" ma:taxonomyMulti="true" ma:sspId="3d175327-6c8e-4629-9a24-c5915f27c813" ma:termSetId="9eab40b6-81f9-48a8-8cbe-843badeabb11" ma:anchorId="00000000-0000-0000-0000-000000000000" ma:open="false" ma:isKeyword="false">
      <xsd:complexType>
        <xsd:sequence>
          <xsd:element ref="pc:Terms" minOccurs="0" maxOccurs="1"/>
        </xsd:sequence>
      </xsd:complexType>
    </xsd:element>
    <xsd:element name="l99f90e11f684e1a913bb42ea974952d" ma:index="21" ma:taxonomy="true" ma:internalName="l99f90e11f684e1a913bb42ea974952d" ma:taxonomyFieldName="Document_x0020_Type_x002e_" ma:displayName="Document Type." ma:readOnly="false" ma:default="" ma:fieldId="{599f90e1-1f68-4e1a-913b-b42ea974952d}" ma:taxonomyMulti="true" ma:sspId="3d175327-6c8e-4629-9a24-c5915f27c813" ma:termSetId="2b9dc93d-bdd8-404e-b3ce-2c1965112a94"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dc155e-5293-47fd-b4de-5ec72ff46142" elementFormDefault="qualified">
    <xsd:import namespace="http://schemas.microsoft.com/office/2006/documentManagement/types"/>
    <xsd:import namespace="http://schemas.microsoft.com/office/infopath/2007/PartnerControls"/>
    <xsd:element name="PGC_x0020_Comments" ma:index="11" nillable="true" ma:displayName="PGC Comments" ma:hidden="true" ma:internalName="PGC_x0020_Comments" ma:readOnly="false">
      <xsd:simpleType>
        <xsd:restriction base="dms:Note"/>
      </xsd:simpleType>
    </xsd:element>
    <xsd:element name="ARCHIVE" ma:index="24" nillable="true" ma:displayName="ARCHIVE" ma:default="NO" ma:format="Dropdown" ma:internalName="ARCHIVE">
      <xsd:simpleType>
        <xsd:restriction base="dms:Choice">
          <xsd:enumeration value="YES"/>
          <xsd:enumeration value="NO"/>
          <xsd:enumeration value="Awaiting decisio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D81999-108B-479F-9777-ED7624F12DB1}">
  <ds:schemaRefs>
    <ds:schemaRef ds:uri="http://schemas.microsoft.com/sharepoint/events"/>
  </ds:schemaRefs>
</ds:datastoreItem>
</file>

<file path=customXml/itemProps3.xml><?xml version="1.0" encoding="utf-8"?>
<ds:datastoreItem xmlns:ds="http://schemas.openxmlformats.org/officeDocument/2006/customXml" ds:itemID="{27C30F29-D1C5-4DE9-9062-1433BA480BB0}">
  <ds:schemaRefs>
    <ds:schemaRef ds:uri="http://schemas.microsoft.com/sharepoint/v3/contenttype/forms"/>
  </ds:schemaRefs>
</ds:datastoreItem>
</file>

<file path=customXml/itemProps4.xml><?xml version="1.0" encoding="utf-8"?>
<ds:datastoreItem xmlns:ds="http://schemas.openxmlformats.org/officeDocument/2006/customXml" ds:itemID="{65122405-FA08-4D6D-926B-9FF32DAC89C9}">
  <ds:schemaRefs>
    <ds:schemaRef ds:uri="http://schemas.microsoft.com/office/2006/metadata/properties"/>
    <ds:schemaRef ds:uri="http://schemas.microsoft.com/office/infopath/2007/PartnerControls"/>
    <ds:schemaRef ds:uri="0b1b15de-2562-41e7-875a-96f32466411d"/>
    <ds:schemaRef ds:uri="63dc155e-5293-47fd-b4de-5ec72ff46142"/>
  </ds:schemaRefs>
</ds:datastoreItem>
</file>

<file path=customXml/itemProps5.xml><?xml version="1.0" encoding="utf-8"?>
<ds:datastoreItem xmlns:ds="http://schemas.openxmlformats.org/officeDocument/2006/customXml" ds:itemID="{C4A0ACA4-8EFB-4BC2-BEA5-6E5496CBE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b15de-2562-41e7-875a-96f32466411d"/>
    <ds:schemaRef ds:uri="63dc155e-5293-47fd-b4de-5ec72ff461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6F5039DC-CE4A-468E-8546-B2597644EB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Procedure Template.DOTX</Template>
  <TotalTime>79</TotalTime>
  <Pages>8</Pages>
  <Words>2937</Words>
  <Characters>16745</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NT Health</vt:lpstr>
    </vt:vector>
  </TitlesOfParts>
  <Company>&lt;NAME&gt;</Company>
  <LinksUpToDate>false</LinksUpToDate>
  <CharactersWithSpaces>19643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NT Health</dc:title>
  <dc:creator>Northern Territory Government</dc:creator>
  <cp:keywords/>
  <dc:description/>
  <cp:lastModifiedBy>Thomas Barnett</cp:lastModifiedBy>
  <cp:revision>11</cp:revision>
  <cp:lastPrinted>2021-09-24T04:27:00Z</cp:lastPrinted>
  <dcterms:created xsi:type="dcterms:W3CDTF">2023-04-24T04:44:00Z</dcterms:created>
  <dcterms:modified xsi:type="dcterms:W3CDTF">2023-07-17T01:09:00Z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0x01010017D5CB0FD33D89488125ECFD1C120AC4000DE8EA5642C729408A5A5C43F631AF4F</vt:lpwstr>
  </property>
  <property fmtid="{D5CDD505-2E9C-101B-9397-08002B2CF9AE}" pid="3" name="_dlc_DocIdItemGuid">
    <vt:lpwstr>93d855e2-c3d7-40d4-9707-eb7e5505c7b1</vt:lpwstr>
  </property>
  <property fmtid="{D5CDD505-2E9C-101B-9397-08002B2CF9AE}" pid="4" name="Administrative Topic.">
    <vt:lpwstr>12822;#Templates - Use of|6c5dcabf-8c0a-4cce-9a12-605473aa2263</vt:lpwstr>
  </property>
  <property fmtid="{D5CDD505-2E9C-101B-9397-08002B2CF9AE}" pid="5" name="External Target Audience.">
    <vt:lpwstr/>
  </property>
  <property fmtid="{D5CDD505-2E9C-101B-9397-08002B2CF9AE}" pid="6" name="Collection Name.">
    <vt:lpwstr>12907;#Media Manual|d90e0057-1de8-4beb-a792-72928b49746d;#12840;#Corporate Templates DoH|a84fd7ff-8923-489c-98ec-a2655673dc7f</vt:lpwstr>
  </property>
  <property fmtid="{D5CDD505-2E9C-101B-9397-08002B2CF9AE}" pid="7" name="Jurisdiction Exclusion.">
    <vt:lpwstr/>
  </property>
  <property fmtid="{D5CDD505-2E9C-101B-9397-08002B2CF9AE}" pid="8" name="Organisational/Business Unit Owner">
    <vt:lpwstr>13069;#Health Policy Guidelines Program|ddc63601-1995-4c07-8f17-4bd729fbafc7</vt:lpwstr>
  </property>
  <property fmtid="{D5CDD505-2E9C-101B-9397-08002B2CF9AE}" pid="9" name="Accreditation Framework.">
    <vt:lpwstr/>
  </property>
  <property fmtid="{D5CDD505-2E9C-101B-9397-08002B2CF9AE}" pid="10" name="Approval Authority Title.">
    <vt:lpwstr>24306;#Senior Director|d6593da1-6d30-40b8-ad00-3c05cd9dd43d</vt:lpwstr>
  </property>
  <property fmtid="{D5CDD505-2E9C-101B-9397-08002B2CF9AE}" pid="11" name="Clinical Topics">
    <vt:lpwstr/>
  </property>
  <property fmtid="{D5CDD505-2E9C-101B-9397-08002B2CF9AE}" pid="12" name="Document Owner - Job Title - New">
    <vt:lpwstr>12848;#Director Media and Corporate Communications|b3edf7f6-e318-4c9e-bd7f-4e3a850a67a3</vt:lpwstr>
  </property>
  <property fmtid="{D5CDD505-2E9C-101B-9397-08002B2CF9AE}" pid="13" name="Document Type.">
    <vt:lpwstr>20172;#Template.|07fc28ea-2ce2-44e7-988a-323bb7d24675</vt:lpwstr>
  </property>
  <property fmtid="{D5CDD505-2E9C-101B-9397-08002B2CF9AE}" pid="14" name="Internal Target Audience.">
    <vt:lpwstr>12828;#All Employees|e912c969-306c-4f30-99ed-019d6356a36f</vt:lpwstr>
  </property>
  <property fmtid="{D5CDD505-2E9C-101B-9397-08002B2CF9AE}" pid="15" name="Jurisdiction.">
    <vt:lpwstr>12824;#NT Health|0a212daa-5a7a-42c4-b867-01adc4b400f4</vt:lpwstr>
  </property>
  <property fmtid="{D5CDD505-2E9C-101B-9397-08002B2CF9AE}" pid="16" name="i4aa91e74e15407f9c4720cfcf4c6b3a">
    <vt:lpwstr>All Employees|e912c969-306c-4f30-99ed-019d6356a36f</vt:lpwstr>
  </property>
  <property fmtid="{D5CDD505-2E9C-101B-9397-08002B2CF9AE}" pid="17" name="e44a3e3c3d69412ca772de95d5019f8e">
    <vt:lpwstr>Media Manual|d90e0057-1de8-4beb-a792-72928b49746d;Corporate Templates DoH|a84fd7ff-8923-489c-98ec-a2655673dc7f</vt:lpwstr>
  </property>
  <property fmtid="{D5CDD505-2E9C-101B-9397-08002B2CF9AE}" pid="18" name="Published in public domain.">
    <vt:bool>false</vt:bool>
  </property>
</Properties>
</file>