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Style w:val="TitleChar"/>
        </w:rPr>
        <w:alias w:val="Title"/>
        <w:tag w:val="Title"/>
        <w:id w:val="-509755993"/>
        <w:placeholder>
          <w:docPart w:val="199C77FCC38F4DCF9E6465CB646C58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EndPr>
        <w:rPr>
          <w:rStyle w:val="TitleChar"/>
        </w:rPr>
      </w:sdtEndPr>
      <w:sdtContent>
        <w:p w:rsidR="00D61FD1" w:rsidRDefault="00112DF2" w:rsidP="00112DF2">
          <w:pPr>
            <w:pStyle w:val="Title"/>
            <w:spacing w:after="0"/>
          </w:pPr>
          <w:r>
            <w:rPr>
              <w:rStyle w:val="TitleChar"/>
            </w:rPr>
            <w:t>Continued Dispensing Initiative</w:t>
          </w:r>
        </w:p>
      </w:sdtContent>
    </w:sdt>
    <w:bookmarkStart w:id="1" w:name="_Toc15286861" w:displacedByCustomXml="prev"/>
    <w:bookmarkStart w:id="2" w:name="_Toc15286907" w:displacedByCustomXml="prev"/>
    <w:bookmarkEnd w:id="2"/>
    <w:bookmarkEnd w:id="1"/>
    <w:bookmarkEnd w:id="0"/>
    <w:p w:rsidR="00112DF2" w:rsidRDefault="00D61FD1" w:rsidP="00112DF2">
      <w:pPr>
        <w:pStyle w:val="Heading1"/>
        <w:shd w:val="clear" w:color="auto" w:fill="FFFFFF" w:themeFill="background1"/>
        <w:rPr>
          <w:lang w:eastAsia="en-AU"/>
        </w:rPr>
      </w:pPr>
      <w:r>
        <w:rPr>
          <w:lang w:eastAsia="en-AU"/>
        </w:rPr>
        <w:t>Wh</w:t>
      </w:r>
      <w:r w:rsidR="00112DF2">
        <w:rPr>
          <w:lang w:eastAsia="en-AU"/>
        </w:rPr>
        <w:t>at is Continued Dispensing?</w:t>
      </w:r>
    </w:p>
    <w:p w:rsidR="00112DF2" w:rsidRDefault="00112DF2" w:rsidP="00112DF2">
      <w:r>
        <w:t>‘</w:t>
      </w:r>
      <w:r w:rsidRPr="00407BF5">
        <w:t>Continued dispensing</w:t>
      </w:r>
      <w:r>
        <w:t>’</w:t>
      </w:r>
      <w:r w:rsidRPr="00407BF5">
        <w:t xml:space="preserve"> is the supply of a standard Pharmaceutical Benefits Scheme (PBS) pack of chronic therapy medicine to a patient by a community pharmacist, under specific circumstances, to facilitate patient adherence to therapy and prevent treatment interruption due to the inability to obtain a timely prescription renewal.</w:t>
      </w:r>
    </w:p>
    <w:p w:rsidR="00112DF2" w:rsidRPr="001351A9" w:rsidRDefault="00112DF2" w:rsidP="00112DF2">
      <w:pPr>
        <w:pStyle w:val="Heading1"/>
        <w:spacing w:before="0" w:after="0"/>
        <w:rPr>
          <w:szCs w:val="36"/>
        </w:rPr>
      </w:pPr>
      <w:r w:rsidRPr="001351A9">
        <w:rPr>
          <w:szCs w:val="36"/>
        </w:rPr>
        <w:t xml:space="preserve">Does the NT </w:t>
      </w:r>
      <w:r w:rsidRPr="001351A9">
        <w:rPr>
          <w:i/>
          <w:szCs w:val="36"/>
        </w:rPr>
        <w:t>Medicines, Poisons and Therapeutic Goods Act</w:t>
      </w:r>
      <w:r w:rsidRPr="001351A9">
        <w:rPr>
          <w:szCs w:val="36"/>
        </w:rPr>
        <w:t xml:space="preserve"> </w:t>
      </w:r>
      <w:r w:rsidRPr="001351A9">
        <w:rPr>
          <w:i/>
          <w:szCs w:val="36"/>
        </w:rPr>
        <w:t>2012</w:t>
      </w:r>
      <w:r w:rsidRPr="001351A9">
        <w:rPr>
          <w:szCs w:val="36"/>
        </w:rPr>
        <w:t xml:space="preserve"> (MPTGA) allow me to supply Scheduled substances under the ‘continued dispensing’ initiative of the community pharmacy agreement?</w:t>
      </w:r>
    </w:p>
    <w:p w:rsidR="00112DF2" w:rsidRDefault="00112DF2" w:rsidP="00112DF2">
      <w:pPr>
        <w:spacing w:before="240"/>
      </w:pPr>
      <w:r>
        <w:t xml:space="preserve">Section 59A of MPTGA allows a pharmacist in the course of practising the pharmacy profession to supply an </w:t>
      </w:r>
      <w:r>
        <w:rPr>
          <w:b/>
        </w:rPr>
        <w:t>unrestricted S</w:t>
      </w:r>
      <w:r w:rsidRPr="002C0DEB">
        <w:rPr>
          <w:b/>
        </w:rPr>
        <w:t>chedule 4 substance</w:t>
      </w:r>
      <w:r>
        <w:t xml:space="preserve"> to a person if the substance is covered by an instrument made under section 89A(3) of the </w:t>
      </w:r>
      <w:r w:rsidRPr="009E2D7C">
        <w:rPr>
          <w:i/>
        </w:rPr>
        <w:t>National Health Act 1953</w:t>
      </w:r>
      <w:r>
        <w:t xml:space="preserve"> (</w:t>
      </w:r>
      <w:proofErr w:type="spellStart"/>
      <w:r>
        <w:t>Cth</w:t>
      </w:r>
      <w:proofErr w:type="spellEnd"/>
      <w:r>
        <w:t xml:space="preserve">). Instruments issued under the </w:t>
      </w:r>
      <w:r w:rsidRPr="009E2D7C">
        <w:rPr>
          <w:i/>
        </w:rPr>
        <w:t>National Health Act 1953</w:t>
      </w:r>
      <w:r>
        <w:t xml:space="preserve"> (</w:t>
      </w:r>
      <w:proofErr w:type="spellStart"/>
      <w:r>
        <w:t>Cth</w:t>
      </w:r>
      <w:proofErr w:type="spellEnd"/>
      <w:r>
        <w:t>) are automatically adopted by MPTGA. Any supply must be in accordance to the conditions stated in the instrument.</w:t>
      </w:r>
    </w:p>
    <w:p w:rsidR="00112DF2" w:rsidRDefault="00112DF2" w:rsidP="00112DF2">
      <w:pPr>
        <w:rPr>
          <w:rStyle w:val="Hyperlink"/>
          <w:color w:val="auto"/>
        </w:rPr>
      </w:pPr>
      <w:r w:rsidRPr="00C36B0A">
        <w:rPr>
          <w:rStyle w:val="Hyperlink"/>
          <w:color w:val="auto"/>
        </w:rPr>
        <w:t xml:space="preserve">The supply of medicines </w:t>
      </w:r>
      <w:r>
        <w:rPr>
          <w:rStyle w:val="Hyperlink"/>
          <w:color w:val="auto"/>
        </w:rPr>
        <w:t xml:space="preserve">under these arrangements are subject to a strict set of professional guidelines - </w:t>
      </w:r>
      <w:hyperlink r:id="rId9" w:history="1">
        <w:r w:rsidRPr="00C36B0A">
          <w:rPr>
            <w:rStyle w:val="Hyperlink"/>
            <w:i/>
          </w:rPr>
          <w:t>Guidelines for the continued Dispensing of eligible prescribed medicines by pharmacists (PSA Guidelines)</w:t>
        </w:r>
        <w:r w:rsidRPr="00C36B0A">
          <w:rPr>
            <w:rStyle w:val="Hyperlink"/>
          </w:rPr>
          <w:t>.</w:t>
        </w:r>
      </w:hyperlink>
      <w:r>
        <w:rPr>
          <w:rStyle w:val="Hyperlink"/>
          <w:color w:val="auto"/>
        </w:rPr>
        <w:t xml:space="preserve"> </w:t>
      </w:r>
    </w:p>
    <w:p w:rsidR="00112DF2" w:rsidRDefault="00112DF2" w:rsidP="00112DF2">
      <w:r>
        <w:rPr>
          <w:rStyle w:val="Hyperlink"/>
          <w:color w:val="auto"/>
        </w:rPr>
        <w:t xml:space="preserve">Continued Dispensing </w:t>
      </w:r>
      <w:r>
        <w:t>is a separate arrangement to ‘emergency supply’ provisions (Section 59 of MPTGA).</w:t>
      </w:r>
    </w:p>
    <w:p w:rsidR="00112DF2" w:rsidRPr="001351A9" w:rsidRDefault="00112DF2" w:rsidP="00112DF2">
      <w:pPr>
        <w:pStyle w:val="Heading1"/>
        <w:spacing w:after="0"/>
        <w:rPr>
          <w:szCs w:val="36"/>
        </w:rPr>
      </w:pPr>
      <w:r w:rsidRPr="001351A9">
        <w:rPr>
          <w:szCs w:val="36"/>
        </w:rPr>
        <w:t xml:space="preserve">Eligible medicines </w:t>
      </w:r>
    </w:p>
    <w:p w:rsidR="00112DF2" w:rsidRDefault="00112DF2" w:rsidP="00112DF2">
      <w:pPr>
        <w:spacing w:before="240"/>
      </w:pPr>
      <w:r>
        <w:t xml:space="preserve">In the NT Continued Dispensing supply is limited to PBS listed unrestricted Schedule 4 substances. </w:t>
      </w:r>
    </w:p>
    <w:p w:rsidR="00112DF2" w:rsidRDefault="00112DF2" w:rsidP="00112DF2">
      <w:r>
        <w:t xml:space="preserve">A list of these medicines can be found in </w:t>
      </w:r>
      <w:r w:rsidRPr="00737996">
        <w:t>Schedule 1 of the current National Health (Continued Dispensing) Determination</w:t>
      </w:r>
      <w:r>
        <w:t>:</w:t>
      </w:r>
      <w:r w:rsidR="00DA0E16">
        <w:t xml:space="preserve"> </w:t>
      </w:r>
      <w:hyperlink r:id="rId10" w:history="1">
        <w:r>
          <w:rPr>
            <w:rStyle w:val="Hyperlink"/>
          </w:rPr>
          <w:t>National Health (Continued Dispensing) Determination 2022 (legislation.gov.au)</w:t>
        </w:r>
      </w:hyperlink>
    </w:p>
    <w:p w:rsidR="00112DF2" w:rsidRDefault="00112DF2" w:rsidP="00112DF2">
      <w:r>
        <w:t>A patient is limited to one (1) supply of an eligible medicine per 12 months.</w:t>
      </w:r>
    </w:p>
    <w:p w:rsidR="00112DF2" w:rsidRPr="002C0DEB" w:rsidRDefault="00112DF2" w:rsidP="00112DF2">
      <w:r w:rsidRPr="00DF5C99">
        <w:rPr>
          <w:b/>
          <w:i/>
        </w:rPr>
        <w:t>Not included</w:t>
      </w:r>
      <w:r w:rsidRPr="00DF5C99">
        <w:rPr>
          <w:i/>
        </w:rPr>
        <w:t xml:space="preserve"> are Schedule 8 medicines, Restricted Schedule 4 medicines and privately funded Schedule 4 and 8 medicines</w:t>
      </w:r>
      <w:r>
        <w:rPr>
          <w:i/>
        </w:rPr>
        <w:t>.</w:t>
      </w:r>
    </w:p>
    <w:p w:rsidR="00112DF2" w:rsidRPr="001351A9" w:rsidRDefault="00112DF2" w:rsidP="00112DF2">
      <w:pPr>
        <w:pStyle w:val="Heading1"/>
        <w:spacing w:after="0"/>
        <w:rPr>
          <w:szCs w:val="36"/>
        </w:rPr>
      </w:pPr>
      <w:r w:rsidRPr="001351A9">
        <w:rPr>
          <w:szCs w:val="36"/>
        </w:rPr>
        <w:t>Where do I find more information?</w:t>
      </w:r>
    </w:p>
    <w:p w:rsidR="00112DF2" w:rsidRDefault="00112DF2" w:rsidP="00112DF2">
      <w:r>
        <w:t xml:space="preserve">More information on pharmacist and patient requirements can be found: </w:t>
      </w:r>
      <w:hyperlink r:id="rId11" w:history="1">
        <w:r>
          <w:rPr>
            <w:rStyle w:val="Hyperlink"/>
          </w:rPr>
          <w:t>Pharmaceutical Benefits Scheme (PBS) | Continued Dispensing Arrangements</w:t>
        </w:r>
      </w:hyperlink>
    </w:p>
    <w:p w:rsidR="00112DF2" w:rsidRDefault="00112DF2" w:rsidP="001351A9">
      <w:pPr>
        <w:spacing w:after="0"/>
      </w:pPr>
    </w:p>
    <w:p w:rsidR="001351A9" w:rsidRDefault="001351A9" w:rsidP="00112DF2">
      <w:pPr>
        <w:spacing w:after="0"/>
      </w:pPr>
    </w:p>
    <w:p w:rsidR="001351A9" w:rsidRDefault="001351A9" w:rsidP="00112DF2">
      <w:pPr>
        <w:spacing w:after="0"/>
      </w:pPr>
    </w:p>
    <w:p w:rsidR="00112DF2" w:rsidRDefault="00112DF2" w:rsidP="00112DF2">
      <w:pPr>
        <w:spacing w:after="0"/>
      </w:pPr>
      <w:r>
        <w:t>M</w:t>
      </w:r>
      <w:r w:rsidRPr="00407BF5">
        <w:t xml:space="preserve">edicines </w:t>
      </w:r>
      <w:r>
        <w:t>and</w:t>
      </w:r>
      <w:r w:rsidRPr="00407BF5">
        <w:t xml:space="preserve"> Poisons </w:t>
      </w:r>
    </w:p>
    <w:p w:rsidR="00112DF2" w:rsidRDefault="00112DF2" w:rsidP="001351A9">
      <w:pPr>
        <w:spacing w:after="0"/>
      </w:pPr>
      <w:r w:rsidRPr="00407BF5">
        <w:t xml:space="preserve">Email: </w:t>
      </w:r>
      <w:hyperlink r:id="rId12" w:history="1">
        <w:r w:rsidRPr="00172E72">
          <w:rPr>
            <w:rStyle w:val="Hyperlink"/>
          </w:rPr>
          <w:t>poisonscontrol@nt.gov.au</w:t>
        </w:r>
      </w:hyperlink>
    </w:p>
    <w:sectPr w:rsidR="00112DF2" w:rsidSect="00CC571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4B" w:rsidRDefault="00D6404B" w:rsidP="007332FF">
      <w:r>
        <w:separator/>
      </w:r>
    </w:p>
  </w:endnote>
  <w:endnote w:type="continuationSeparator" w:id="0">
    <w:p w:rsidR="00D6404B" w:rsidRDefault="00D6404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199C77FCC38F4DCF9E6465CB646C586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592E78" w:rsidRPr="00750D2F">
                <w:rPr>
                  <w:rStyle w:val="PageNumber"/>
                  <w:b/>
                </w:rPr>
                <w:t>&lt;NAME&gt;</w:t>
              </w:r>
            </w:sdtContent>
          </w:sdt>
          <w:r w:rsidR="00592E78" w:rsidRPr="00750D2F">
            <w:rPr>
              <w:rStyle w:val="PageNumber"/>
            </w:rPr>
            <w:t xml:space="preserve"> - optional</w:t>
          </w:r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351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351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901430" w:rsidRPr="00901430" w:rsidRDefault="001351A9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Health – March 2023</w:t>
          </w:r>
        </w:p>
        <w:p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862A83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862A83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058055" wp14:editId="7C1937C2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4B" w:rsidRDefault="00D6404B" w:rsidP="007332FF">
      <w:r>
        <w:separator/>
      </w:r>
    </w:p>
  </w:footnote>
  <w:footnote w:type="continuationSeparator" w:id="0">
    <w:p w:rsidR="00D6404B" w:rsidRDefault="00D6404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6404B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12DF2">
          <w:t>Continued Dispensing Initiative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F1" w:rsidRPr="000E3ED2" w:rsidRDefault="00D61FD1" w:rsidP="00EB164C">
    <w:pPr>
      <w:pStyle w:val="Subtitle0"/>
    </w:pPr>
    <w: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F1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2DF2"/>
    <w:rsid w:val="001137EC"/>
    <w:rsid w:val="00114404"/>
    <w:rsid w:val="001152F5"/>
    <w:rsid w:val="00117743"/>
    <w:rsid w:val="00117F5B"/>
    <w:rsid w:val="00127715"/>
    <w:rsid w:val="00132658"/>
    <w:rsid w:val="001351A9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6672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C53DB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B523D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2A8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30DE"/>
    <w:rsid w:val="008F422B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6F1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874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77EEE"/>
    <w:rsid w:val="00C86609"/>
    <w:rsid w:val="00C92B4C"/>
    <w:rsid w:val="00C92C5E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EBE"/>
    <w:rsid w:val="00D36A49"/>
    <w:rsid w:val="00D517C6"/>
    <w:rsid w:val="00D61FD1"/>
    <w:rsid w:val="00D6404B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0E16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2A3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97976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37BE9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E56CE-5376-4FD3-BBA8-913BF6C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isonscontrol@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bs.gov.au/info/general/continued-dispens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legislation.gov.au/Details/F2022C0099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y.psa.org.au/s/article/Continued-dispensing-guideline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9C77FCC38F4DCF9E6465CB646C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C573-D4BF-484D-8CF6-78195779BDC3}"/>
      </w:docPartPr>
      <w:docPartBody>
        <w:p w:rsidR="003608E4" w:rsidRDefault="0052499E">
          <w:pPr>
            <w:pStyle w:val="199C77FCC38F4DCF9E6465CB646C5861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9E"/>
    <w:rsid w:val="003608E4"/>
    <w:rsid w:val="00372E75"/>
    <w:rsid w:val="0052499E"/>
    <w:rsid w:val="00C22B31"/>
    <w:rsid w:val="00E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9C77FCC38F4DCF9E6465CB646C5861">
    <w:name w:val="199C77FCC38F4DCF9E6465CB646C5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D1BACA-54C7-4ADC-91E5-E9F38293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fact sheet.dotx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Continued Dispensing Initiative</vt:lpstr>
    </vt:vector>
  </TitlesOfParts>
  <Company>&lt;NAME&gt;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Dispensing Initiative</dc:title>
  <dc:creator>Northern Territory Government</dc:creator>
  <cp:lastModifiedBy>Andrea Ruske</cp:lastModifiedBy>
  <cp:revision>3</cp:revision>
  <cp:lastPrinted>2019-08-28T22:41:00Z</cp:lastPrinted>
  <dcterms:created xsi:type="dcterms:W3CDTF">2023-04-12T05:35:00Z</dcterms:created>
  <dcterms:modified xsi:type="dcterms:W3CDTF">2023-04-12T05:37:00Z</dcterms:modified>
</cp:coreProperties>
</file>