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597"/>
        <w:gridCol w:w="1764"/>
        <w:gridCol w:w="3361"/>
      </w:tblGrid>
      <w:tr w:rsidR="00A51EFA" w14:paraId="53C59998" w14:textId="77777777" w:rsidTr="00F05DE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1FB73DAB" w14:textId="77777777" w:rsidR="00A51EFA" w:rsidRDefault="00A51EFA" w:rsidP="00F05DE6">
            <w:pPr>
              <w:jc w:val="center"/>
            </w:pPr>
            <w:bookmarkStart w:id="0" w:name="_GoBack" w:colFirst="0" w:colLast="0"/>
            <w:r>
              <w:rPr>
                <w:w w:val="105"/>
              </w:rPr>
              <w:t>Document Metadata</w:t>
            </w:r>
          </w:p>
        </w:tc>
      </w:tr>
      <w:tr w:rsidR="00A51EFA" w14:paraId="1CD87110"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hideMark/>
          </w:tcPr>
          <w:p w14:paraId="5EA23934" w14:textId="77777777" w:rsidR="00A51EFA" w:rsidRPr="00E179BF" w:rsidRDefault="00A51EFA" w:rsidP="00F05DE6">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107969B1" w14:textId="13B24942" w:rsidR="00A51EFA" w:rsidRPr="00D8493C" w:rsidRDefault="00A51EFA" w:rsidP="00F05DE6">
            <w:r w:rsidRPr="000A0548">
              <w:t>All Clinical Employees</w:t>
            </w:r>
            <w:r w:rsidR="00A22FA6">
              <w:t>;</w:t>
            </w:r>
          </w:p>
        </w:tc>
      </w:tr>
      <w:tr w:rsidR="00A51EFA" w14:paraId="6AFF9C68"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36762A69" w14:textId="77777777" w:rsidR="00A51EFA" w:rsidRPr="00E179BF" w:rsidRDefault="00A51EFA" w:rsidP="00F05DE6">
            <w:pPr>
              <w:spacing w:after="80"/>
              <w:rPr>
                <w:b/>
              </w:rPr>
            </w:pPr>
            <w:r w:rsidRPr="00E179BF">
              <w:rPr>
                <w:b/>
              </w:rPr>
              <w:t xml:space="preserve">Jurisdiction </w:t>
            </w:r>
          </w:p>
          <w:p w14:paraId="6E45CF70" w14:textId="77777777" w:rsidR="00A51EFA" w:rsidRPr="00E179BF" w:rsidRDefault="00A51EFA" w:rsidP="00F05DE6">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733FEF7" w14:textId="3A5BE222" w:rsidR="00A51EFA" w:rsidRPr="000A0548" w:rsidRDefault="00A51EFA" w:rsidP="00F05DE6">
            <w:r w:rsidRPr="000A0548">
              <w:t>NT Health</w:t>
            </w:r>
            <w:r w:rsidR="00A22FA6">
              <w:t>;</w:t>
            </w:r>
          </w:p>
          <w:p w14:paraId="70C90632" w14:textId="32A0B510" w:rsidR="00A51EFA" w:rsidRPr="00D8493C" w:rsidRDefault="00A51EFA" w:rsidP="00F05DE6">
            <w:r w:rsidRPr="000A0548">
              <w:t>N/A</w:t>
            </w:r>
            <w:r w:rsidR="00A22FA6">
              <w:t>;</w:t>
            </w:r>
          </w:p>
        </w:tc>
      </w:tr>
      <w:tr w:rsidR="00A51EFA" w14:paraId="436001F9"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6B201F84" w14:textId="77777777" w:rsidR="00A51EFA" w:rsidRPr="00E179BF" w:rsidRDefault="00A51EFA" w:rsidP="00F05DE6">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80C752B" w14:textId="13D20717" w:rsidR="00A51EFA" w:rsidRDefault="000A0548" w:rsidP="00F05DE6">
            <w:r>
              <w:t>Michelle Foley</w:t>
            </w:r>
          </w:p>
          <w:p w14:paraId="4A65EDC9" w14:textId="73E455F0" w:rsidR="000A0548" w:rsidRPr="00D8493C" w:rsidRDefault="000A0548" w:rsidP="00F05DE6">
            <w:r>
              <w:t>Senior Manager Community Allied Health &amp; Aged Care CAHS</w:t>
            </w:r>
            <w:r w:rsidR="00A22FA6">
              <w:t>;</w:t>
            </w:r>
          </w:p>
        </w:tc>
      </w:tr>
      <w:tr w:rsidR="00A51EFA" w14:paraId="022309EA"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55389203" w14:textId="77777777" w:rsidR="00A51EFA" w:rsidRPr="00E179BF" w:rsidRDefault="00A51EFA" w:rsidP="00F05DE6">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4BEB07E4" w14:textId="747F200C" w:rsidR="00A51EFA" w:rsidRDefault="00F52BA2" w:rsidP="000A0548">
            <w:pPr>
              <w:tabs>
                <w:tab w:val="left" w:pos="10206"/>
              </w:tabs>
              <w:autoSpaceDE w:val="0"/>
              <w:autoSpaceDN w:val="0"/>
              <w:adjustRightInd w:val="0"/>
              <w:spacing w:after="80"/>
              <w:rPr>
                <w:lang w:eastAsia="en-AU"/>
              </w:rPr>
            </w:pPr>
            <w:r>
              <w:rPr>
                <w:lang w:eastAsia="en-AU"/>
              </w:rPr>
              <w:t>Naomi Heinrich</w:t>
            </w:r>
            <w:r w:rsidR="00A22FA6">
              <w:rPr>
                <w:lang w:eastAsia="en-AU"/>
              </w:rPr>
              <w:t xml:space="preserve">- </w:t>
            </w:r>
            <w:r>
              <w:rPr>
                <w:lang w:eastAsia="en-AU"/>
              </w:rPr>
              <w:t xml:space="preserve"> Chief Operating Officer CAHS</w:t>
            </w:r>
            <w:r w:rsidR="00A22FA6">
              <w:rPr>
                <w:lang w:eastAsia="en-AU"/>
              </w:rPr>
              <w:t>;</w:t>
            </w:r>
          </w:p>
          <w:p w14:paraId="76464DC9" w14:textId="0842BD37" w:rsidR="00F52BA2" w:rsidRPr="00D8493C" w:rsidRDefault="00F52BA2" w:rsidP="000A0548">
            <w:pPr>
              <w:tabs>
                <w:tab w:val="left" w:pos="10206"/>
              </w:tabs>
              <w:autoSpaceDE w:val="0"/>
              <w:autoSpaceDN w:val="0"/>
              <w:adjustRightInd w:val="0"/>
              <w:spacing w:after="80"/>
              <w:rPr>
                <w:color w:val="000000"/>
                <w:lang w:eastAsia="en-AU"/>
              </w:rPr>
            </w:pPr>
            <w:r>
              <w:rPr>
                <w:lang w:eastAsia="en-AU"/>
              </w:rPr>
              <w:t xml:space="preserve">Michelle McKay </w:t>
            </w:r>
            <w:r w:rsidR="00A22FA6">
              <w:rPr>
                <w:lang w:eastAsia="en-AU"/>
              </w:rPr>
              <w:t xml:space="preserve">- </w:t>
            </w:r>
            <w:r>
              <w:rPr>
                <w:lang w:eastAsia="en-AU"/>
              </w:rPr>
              <w:t>Chief Operating Off</w:t>
            </w:r>
            <w:r w:rsidR="00DB3CA1">
              <w:rPr>
                <w:lang w:eastAsia="en-AU"/>
              </w:rPr>
              <w:t>i</w:t>
            </w:r>
            <w:r>
              <w:rPr>
                <w:lang w:eastAsia="en-AU"/>
              </w:rPr>
              <w:t>cer TEHS</w:t>
            </w:r>
            <w:r w:rsidR="00A22FA6">
              <w:rPr>
                <w:lang w:eastAsia="en-AU"/>
              </w:rPr>
              <w:t>;</w:t>
            </w:r>
          </w:p>
        </w:tc>
      </w:tr>
      <w:tr w:rsidR="00A51EFA" w14:paraId="78D47CFC"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15400D15" w14:textId="77777777" w:rsidR="00A51EFA" w:rsidRPr="00E179BF" w:rsidRDefault="00A51EFA" w:rsidP="00F05DE6">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542A583" w14:textId="3EB61C1D" w:rsidR="00A51EFA" w:rsidRPr="00D8493C" w:rsidRDefault="000A0548" w:rsidP="00F05DE6">
            <w:pPr>
              <w:tabs>
                <w:tab w:val="left" w:pos="10206"/>
              </w:tabs>
              <w:rPr>
                <w:lang w:eastAsia="en-AU"/>
              </w:rPr>
            </w:pPr>
            <w:r>
              <w:rPr>
                <w:lang w:eastAsia="en-AU"/>
              </w:rPr>
              <w:t>TEP Advisory Committee</w:t>
            </w:r>
          </w:p>
        </w:tc>
      </w:tr>
      <w:tr w:rsidR="00A51EFA" w14:paraId="0697666F" w14:textId="77777777" w:rsidTr="00D5587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957" w:type="dxa"/>
            <w:gridSpan w:val="3"/>
            <w:tcBorders>
              <w:top w:val="nil"/>
              <w:left w:val="single" w:sz="4" w:space="0" w:color="1F1F5F" w:themeColor="text1"/>
              <w:bottom w:val="nil"/>
              <w:right w:val="single" w:sz="4" w:space="0" w:color="1F1F5F" w:themeColor="text1"/>
            </w:tcBorders>
          </w:tcPr>
          <w:p w14:paraId="0ACBCD0E" w14:textId="77777777" w:rsidR="00A51EFA" w:rsidRDefault="00A51EFA" w:rsidP="00F05DE6">
            <w:r w:rsidRPr="00E179BF">
              <w:rPr>
                <w:b/>
              </w:rPr>
              <w:t xml:space="preserve">PGC/SharePoint ID: </w:t>
            </w:r>
            <w:r w:rsidRPr="00A22FA6">
              <w:t>HEALTHINTRA-1880-8254</w:t>
            </w:r>
            <w:r>
              <w:t xml:space="preserve"> </w:t>
            </w:r>
          </w:p>
        </w:tc>
        <w:tc>
          <w:tcPr>
            <w:cnfStyle w:val="000100000000" w:firstRow="0" w:lastRow="0" w:firstColumn="0" w:lastColumn="1" w:oddVBand="0" w:evenVBand="0" w:oddHBand="0" w:evenHBand="0" w:firstRowFirstColumn="0" w:firstRowLastColumn="0" w:lastRowFirstColumn="0" w:lastRowLastColumn="0"/>
            <w:tcW w:w="5125" w:type="dxa"/>
            <w:gridSpan w:val="2"/>
            <w:tcBorders>
              <w:top w:val="nil"/>
              <w:left w:val="single" w:sz="4" w:space="0" w:color="1F1F5F" w:themeColor="text1"/>
              <w:bottom w:val="nil"/>
              <w:right w:val="single" w:sz="4" w:space="0" w:color="1F1F5F" w:themeColor="text1"/>
            </w:tcBorders>
          </w:tcPr>
          <w:p w14:paraId="47864F27" w14:textId="77777777" w:rsidR="00A51EFA" w:rsidRPr="00D55876" w:rsidRDefault="00A51EFA" w:rsidP="00F05DE6">
            <w:pPr>
              <w:tabs>
                <w:tab w:val="left" w:pos="10206"/>
              </w:tabs>
              <w:rPr>
                <w:color w:val="000000"/>
                <w:highlight w:val="yellow"/>
                <w:lang w:eastAsia="en-AU"/>
              </w:rPr>
            </w:pPr>
            <w:r w:rsidRPr="00D55876">
              <w:rPr>
                <w:b/>
                <w:color w:val="000000"/>
                <w:lang w:eastAsia="en-AU"/>
              </w:rPr>
              <w:t>PGC/Content Manager ID:</w:t>
            </w:r>
            <w:r w:rsidRPr="00D55876">
              <w:rPr>
                <w:color w:val="000000"/>
                <w:lang w:eastAsia="en-AU"/>
              </w:rPr>
              <w:t xml:space="preserve"> EDOC2018/42394</w:t>
            </w:r>
          </w:p>
        </w:tc>
      </w:tr>
      <w:tr w:rsidR="00A51EFA" w14:paraId="2EA4E714"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5DFD315E" w14:textId="6FA2563E" w:rsidR="00A51EFA" w:rsidRPr="004C266E" w:rsidRDefault="00A51EFA" w:rsidP="00F05DE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text w:multiLine="1"/>
              </w:sdtPr>
              <w:sdtEndPr/>
              <w:sdtContent>
                <w:r w:rsidR="009A0914">
                  <w:rPr>
                    <w:iCs/>
                    <w:color w:val="999999"/>
                    <w:sz w:val="16"/>
                  </w:rPr>
                  <w:t>Version: 14.0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555BB87E" w14:textId="50BF9F07" w:rsidR="00A51EFA" w:rsidRPr="00D8493C" w:rsidRDefault="00A51EFA" w:rsidP="00A22FA6">
            <w:pPr>
              <w:tabs>
                <w:tab w:val="left" w:pos="10206"/>
              </w:tabs>
              <w:rPr>
                <w:color w:val="000000"/>
                <w:lang w:eastAsia="en-AU"/>
              </w:rPr>
            </w:pPr>
            <w:r w:rsidRPr="00D8493C">
              <w:rPr>
                <w:color w:val="000000"/>
                <w:lang w:eastAsia="en-AU"/>
              </w:rPr>
              <w:t>Approved Date:</w:t>
            </w:r>
            <w:r w:rsidR="00B44A98">
              <w:rPr>
                <w:color w:val="000000"/>
                <w:lang w:eastAsia="en-AU"/>
              </w:rPr>
              <w:t xml:space="preserve"> </w:t>
            </w:r>
            <w:r w:rsidR="00A22FA6">
              <w:rPr>
                <w:color w:val="000000"/>
                <w:lang w:eastAsia="en-AU"/>
              </w:rPr>
              <w:t>17</w:t>
            </w:r>
            <w:r w:rsidR="00B44A98">
              <w:rPr>
                <w:color w:val="000000"/>
                <w:lang w:eastAsia="en-AU"/>
              </w:rPr>
              <w:t>/02/2021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3AC18F58" w14:textId="0697C32A" w:rsidR="00A51EFA" w:rsidRPr="00D8493C" w:rsidRDefault="00A51EFA" w:rsidP="00B44A98">
            <w:pPr>
              <w:tabs>
                <w:tab w:val="left" w:pos="10206"/>
              </w:tabs>
              <w:rPr>
                <w:color w:val="000000"/>
                <w:lang w:eastAsia="en-AU"/>
              </w:rPr>
            </w:pPr>
            <w:r w:rsidRPr="00D8493C">
              <w:rPr>
                <w:color w:val="000000"/>
                <w:lang w:eastAsia="en-AU"/>
              </w:rPr>
              <w:t>Review Date:</w:t>
            </w:r>
            <w:r w:rsidR="00B44A98">
              <w:rPr>
                <w:color w:val="000000"/>
                <w:lang w:eastAsia="en-AU"/>
              </w:rPr>
              <w:t xml:space="preserve"> 01/02/2024</w:t>
            </w:r>
          </w:p>
        </w:tc>
      </w:tr>
      <w:tr w:rsidR="00A51EFA" w14:paraId="01B0EA1D"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0741C861" w14:textId="77777777" w:rsidR="00A51EFA" w:rsidRPr="009736C1" w:rsidRDefault="00A51EFA" w:rsidP="00F05DE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bookmarkEnd w:id="0"/>
    <w:p w14:paraId="7B1208D6" w14:textId="48D39CE6" w:rsidR="00A51EFA" w:rsidRDefault="00A51EFA" w:rsidP="00A51EFA">
      <w:pPr>
        <w:pStyle w:val="Heading1"/>
        <w:rPr>
          <w:noProof/>
          <w:lang w:eastAsia="en-AU"/>
        </w:rPr>
      </w:pPr>
      <w:r>
        <w:rPr>
          <w:noProof/>
          <w:lang w:eastAsia="en-AU"/>
        </w:rPr>
        <w:t>Purpose</w:t>
      </w:r>
    </w:p>
    <w:p w14:paraId="7936F2C0" w14:textId="413A5FDB" w:rsidR="00D55876" w:rsidRPr="00D55876" w:rsidRDefault="00D55876" w:rsidP="00D55876">
      <w:pPr>
        <w:rPr>
          <w:lang w:eastAsia="en-AU"/>
        </w:rPr>
      </w:pPr>
      <w:r>
        <w:rPr>
          <w:lang w:eastAsia="en-AU"/>
        </w:rPr>
        <w:t>To provide information to clinical employees on professional criteria required to be approved as a Prescriber under the Territory Equipment Program</w:t>
      </w:r>
    </w:p>
    <w:p w14:paraId="37A1B161" w14:textId="64B27D6D" w:rsidR="00A51EFA" w:rsidRDefault="00A51EFA" w:rsidP="00A51EFA">
      <w:pPr>
        <w:pStyle w:val="Heading1"/>
      </w:pPr>
      <w:r w:rsidRPr="00D55876">
        <w:rPr>
          <w:lang w:eastAsia="en-AU"/>
        </w:rPr>
        <w:t>Guideline</w:t>
      </w:r>
    </w:p>
    <w:p w14:paraId="511EA25D" w14:textId="77777777" w:rsidR="00A51EFA" w:rsidRPr="003416B7" w:rsidRDefault="00A51EFA" w:rsidP="00A51EFA">
      <w:pPr>
        <w:spacing w:before="120" w:after="120"/>
        <w:rPr>
          <w:rFonts w:asciiTheme="minorHAnsi" w:eastAsia="Times New Roman" w:hAnsiTheme="minorHAnsi"/>
        </w:rPr>
      </w:pPr>
      <w:r w:rsidRPr="003416B7">
        <w:rPr>
          <w:rFonts w:eastAsia="Times New Roman"/>
        </w:rPr>
        <w:t>The Territory Equipment Program (TEP) requires that equipment prescribers meet the necessary qualifications and levels of experience as detailed below.</w:t>
      </w:r>
    </w:p>
    <w:p w14:paraId="1F47B89B" w14:textId="77777777" w:rsidR="00A51EFA" w:rsidRPr="003416B7" w:rsidRDefault="00A51EFA" w:rsidP="00A51EFA">
      <w:pPr>
        <w:numPr>
          <w:ilvl w:val="0"/>
          <w:numId w:val="14"/>
        </w:numPr>
        <w:spacing w:before="240" w:after="120"/>
        <w:ind w:left="360"/>
        <w:outlineLvl w:val="1"/>
        <w:rPr>
          <w:rFonts w:asciiTheme="minorHAnsi" w:eastAsia="Times New Roman" w:hAnsiTheme="minorHAnsi"/>
          <w:b/>
          <w:color w:val="606060"/>
          <w:sz w:val="28"/>
          <w:szCs w:val="18"/>
          <w:lang w:eastAsia="en-AU"/>
        </w:rPr>
      </w:pPr>
      <w:r w:rsidRPr="003416B7">
        <w:rPr>
          <w:rFonts w:asciiTheme="minorHAnsi" w:eastAsia="Times New Roman" w:hAnsiTheme="minorHAnsi"/>
          <w:b/>
          <w:color w:val="606060"/>
          <w:sz w:val="28"/>
          <w:szCs w:val="18"/>
          <w:lang w:eastAsia="en-AU"/>
        </w:rPr>
        <w:t>Principles of Equipment Prescription</w:t>
      </w:r>
    </w:p>
    <w:p w14:paraId="1D81DE97" w14:textId="77777777" w:rsidR="00A51EFA" w:rsidRPr="003416B7" w:rsidRDefault="00A51EFA" w:rsidP="00A51EFA">
      <w:pPr>
        <w:spacing w:before="120" w:after="0"/>
        <w:rPr>
          <w:rFonts w:asciiTheme="minorHAnsi" w:eastAsia="Times New Roman" w:hAnsiTheme="minorHAnsi"/>
        </w:rPr>
      </w:pPr>
      <w:r w:rsidRPr="003416B7">
        <w:rPr>
          <w:rFonts w:asciiTheme="minorHAnsi" w:eastAsia="Times New Roman" w:hAnsiTheme="minorHAnsi"/>
        </w:rPr>
        <w:t>The Northern Territory Health is committed to decisions being:</w:t>
      </w:r>
    </w:p>
    <w:p w14:paraId="1A44F6E3"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Person-centred</w:t>
      </w:r>
    </w:p>
    <w:p w14:paraId="62C0267F"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Culturally secure</w:t>
      </w:r>
    </w:p>
    <w:p w14:paraId="0091D3A5"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Future focussed</w:t>
      </w:r>
    </w:p>
    <w:p w14:paraId="75711DEE"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Equitable</w:t>
      </w:r>
    </w:p>
    <w:p w14:paraId="0F962E1F"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Flexible and responsive</w:t>
      </w:r>
    </w:p>
    <w:p w14:paraId="0F74279E"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Collaborative</w:t>
      </w:r>
    </w:p>
    <w:p w14:paraId="76208F65"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Sustainable</w:t>
      </w:r>
    </w:p>
    <w:p w14:paraId="5A29FBF8" w14:textId="77777777" w:rsidR="00A51EFA" w:rsidRPr="003416B7" w:rsidRDefault="00A51EFA" w:rsidP="00A51EFA">
      <w:pPr>
        <w:numPr>
          <w:ilvl w:val="0"/>
          <w:numId w:val="15"/>
        </w:numPr>
        <w:spacing w:before="60" w:after="60"/>
        <w:rPr>
          <w:rFonts w:asciiTheme="minorHAnsi" w:eastAsia="Times New Roman" w:hAnsiTheme="minorHAnsi"/>
        </w:rPr>
      </w:pPr>
      <w:r w:rsidRPr="003416B7">
        <w:rPr>
          <w:rFonts w:asciiTheme="minorHAnsi" w:eastAsia="Times New Roman" w:hAnsiTheme="minorHAnsi"/>
        </w:rPr>
        <w:t>Outcome driven</w:t>
      </w:r>
    </w:p>
    <w:p w14:paraId="17B430B0" w14:textId="77777777" w:rsidR="00A51EFA" w:rsidRPr="003416B7" w:rsidRDefault="00A51EFA" w:rsidP="00A51EFA">
      <w:pPr>
        <w:numPr>
          <w:ilvl w:val="0"/>
          <w:numId w:val="14"/>
        </w:numPr>
        <w:spacing w:before="240" w:after="120"/>
        <w:ind w:left="360"/>
        <w:outlineLvl w:val="1"/>
        <w:rPr>
          <w:rFonts w:asciiTheme="minorHAnsi" w:eastAsia="Times New Roman" w:hAnsiTheme="minorHAnsi"/>
          <w:b/>
          <w:color w:val="606060"/>
          <w:sz w:val="28"/>
          <w:szCs w:val="18"/>
          <w:lang w:eastAsia="en-AU"/>
        </w:rPr>
      </w:pPr>
      <w:r w:rsidRPr="003416B7">
        <w:rPr>
          <w:rFonts w:asciiTheme="minorHAnsi" w:eastAsia="Times New Roman" w:hAnsiTheme="minorHAnsi"/>
          <w:b/>
          <w:color w:val="606060"/>
          <w:sz w:val="28"/>
          <w:szCs w:val="18"/>
          <w:lang w:eastAsia="en-AU"/>
        </w:rPr>
        <w:t>Approved Prescribers</w:t>
      </w:r>
    </w:p>
    <w:p w14:paraId="76BC905F" w14:textId="77777777" w:rsidR="00A51EFA" w:rsidRPr="003416B7" w:rsidRDefault="00A51EFA" w:rsidP="00A51EFA">
      <w:pPr>
        <w:spacing w:before="120" w:after="120"/>
        <w:rPr>
          <w:rFonts w:asciiTheme="minorHAnsi" w:eastAsia="Times New Roman" w:hAnsiTheme="minorHAnsi"/>
        </w:rPr>
      </w:pPr>
      <w:r w:rsidRPr="003416B7">
        <w:rPr>
          <w:rFonts w:asciiTheme="minorHAnsi" w:eastAsia="Times New Roman" w:hAnsiTheme="minorHAnsi"/>
        </w:rPr>
        <w:t>All allied health professionals and specialist nurses must be registered as Approved Prescribers with the TEP in order to prescribe TEP aids and equipment.</w:t>
      </w:r>
    </w:p>
    <w:p w14:paraId="3AFB94CF" w14:textId="77777777" w:rsidR="00A51EFA" w:rsidRPr="003416B7" w:rsidRDefault="00A51EFA" w:rsidP="00A51EFA">
      <w:pPr>
        <w:spacing w:before="120" w:after="120"/>
        <w:rPr>
          <w:rFonts w:asciiTheme="minorHAnsi" w:eastAsia="Times New Roman" w:hAnsiTheme="minorHAnsi"/>
        </w:rPr>
      </w:pPr>
      <w:r w:rsidRPr="003416B7">
        <w:rPr>
          <w:rFonts w:asciiTheme="minorHAnsi" w:eastAsia="Times New Roman" w:hAnsiTheme="minorHAnsi"/>
        </w:rPr>
        <w:t xml:space="preserve">Registration of Approved Prescribers recognises prescribers’ advanced knowledge in equipment prescription, facilitates professional development of equipment prescription skills, and will create a central </w:t>
      </w:r>
      <w:r w:rsidRPr="003416B7">
        <w:rPr>
          <w:rFonts w:asciiTheme="minorHAnsi" w:eastAsia="Times New Roman" w:hAnsiTheme="minorHAnsi"/>
        </w:rPr>
        <w:lastRenderedPageBreak/>
        <w:t xml:space="preserve">list for therapists in the Northern Territory to receive notification of equipment updates and educational opportunities. </w:t>
      </w:r>
    </w:p>
    <w:p w14:paraId="60888C42" w14:textId="77777777" w:rsidR="00A51EFA" w:rsidRPr="003416B7" w:rsidRDefault="00A51EFA" w:rsidP="00A51EFA">
      <w:pPr>
        <w:numPr>
          <w:ilvl w:val="0"/>
          <w:numId w:val="14"/>
        </w:numPr>
        <w:spacing w:before="240" w:after="120"/>
        <w:ind w:left="360"/>
        <w:outlineLvl w:val="1"/>
        <w:rPr>
          <w:rFonts w:asciiTheme="minorHAnsi" w:eastAsia="Times New Roman" w:hAnsiTheme="minorHAnsi"/>
          <w:b/>
          <w:color w:val="606060"/>
          <w:sz w:val="28"/>
          <w:szCs w:val="18"/>
          <w:lang w:eastAsia="en-AU"/>
        </w:rPr>
      </w:pPr>
      <w:r w:rsidRPr="003416B7">
        <w:rPr>
          <w:rFonts w:asciiTheme="minorHAnsi" w:eastAsia="Times New Roman" w:hAnsiTheme="minorHAnsi"/>
          <w:b/>
          <w:color w:val="606060"/>
          <w:sz w:val="28"/>
          <w:szCs w:val="18"/>
          <w:lang w:eastAsia="en-AU"/>
        </w:rPr>
        <w:t>Professional Criteria for Approved Prescribers</w:t>
      </w:r>
    </w:p>
    <w:p w14:paraId="7179AF9E" w14:textId="77777777" w:rsidR="00A51EFA" w:rsidRPr="003416B7" w:rsidRDefault="00A51EFA" w:rsidP="00A51EFA">
      <w:pPr>
        <w:numPr>
          <w:ilvl w:val="0"/>
          <w:numId w:val="16"/>
        </w:numPr>
        <w:spacing w:before="60" w:after="60"/>
        <w:rPr>
          <w:rFonts w:asciiTheme="minorHAnsi" w:eastAsia="Times New Roman" w:hAnsiTheme="minorHAnsi"/>
        </w:rPr>
      </w:pPr>
      <w:r w:rsidRPr="003416B7">
        <w:rPr>
          <w:rFonts w:asciiTheme="minorHAnsi" w:eastAsia="Times New Roman" w:hAnsiTheme="minorHAnsi"/>
        </w:rPr>
        <w:t xml:space="preserve">Prescribers must have the stipulated professional qualification and experience to prescribe from different TEP Equipment Types, as detailed in the TEP Clinical Guidelines.  </w:t>
      </w:r>
    </w:p>
    <w:p w14:paraId="645332F6" w14:textId="77777777" w:rsidR="00A51EFA" w:rsidRPr="003416B7" w:rsidRDefault="00A51EFA" w:rsidP="00A51EFA">
      <w:pPr>
        <w:numPr>
          <w:ilvl w:val="0"/>
          <w:numId w:val="16"/>
        </w:numPr>
        <w:spacing w:before="60" w:after="60"/>
        <w:rPr>
          <w:rFonts w:asciiTheme="minorHAnsi" w:eastAsia="Times New Roman" w:hAnsiTheme="minorHAnsi"/>
        </w:rPr>
      </w:pPr>
      <w:r w:rsidRPr="003416B7">
        <w:rPr>
          <w:rFonts w:asciiTheme="minorHAnsi" w:eastAsia="Times New Roman" w:hAnsiTheme="minorHAnsi"/>
        </w:rPr>
        <w:t>Equipment groups and professional criteria determine the equipment level at which a prescriber may prescribe, see Table 1.</w:t>
      </w:r>
    </w:p>
    <w:p w14:paraId="66D6FD3A" w14:textId="77777777" w:rsidR="00A51EFA" w:rsidRPr="003416B7" w:rsidRDefault="00A51EFA" w:rsidP="00A51EFA">
      <w:pPr>
        <w:numPr>
          <w:ilvl w:val="0"/>
          <w:numId w:val="16"/>
        </w:numPr>
        <w:spacing w:before="60" w:after="60"/>
        <w:rPr>
          <w:rFonts w:asciiTheme="minorHAnsi" w:eastAsia="Times New Roman" w:hAnsiTheme="minorHAnsi"/>
        </w:rPr>
      </w:pPr>
      <w:r w:rsidRPr="003416B7">
        <w:rPr>
          <w:rFonts w:asciiTheme="minorHAnsi" w:eastAsia="Times New Roman" w:hAnsiTheme="minorHAnsi"/>
        </w:rPr>
        <w:t>Prescription of Level 1 General Equipment only requires that the prescriber has the stipulated professional qualification.  Prescription of Level 2 General Equipment and Level 2 Seating Equipment requires the prescriber to also have relevant prescribing experience.  This is defined as:</w:t>
      </w:r>
    </w:p>
    <w:p w14:paraId="60BD8F8E" w14:textId="77777777" w:rsidR="00A51EFA" w:rsidRPr="003416B7" w:rsidRDefault="00A51EFA" w:rsidP="00A51EFA">
      <w:pPr>
        <w:numPr>
          <w:ilvl w:val="0"/>
          <w:numId w:val="17"/>
        </w:numPr>
        <w:spacing w:before="60" w:after="60"/>
        <w:rPr>
          <w:rFonts w:asciiTheme="minorHAnsi" w:eastAsia="Times New Roman" w:hAnsiTheme="minorHAnsi"/>
        </w:rPr>
      </w:pPr>
      <w:r w:rsidRPr="003416B7">
        <w:rPr>
          <w:rFonts w:asciiTheme="minorHAnsi" w:eastAsia="Times New Roman" w:hAnsiTheme="minorHAnsi"/>
        </w:rPr>
        <w:t>The amount of time a prescriber has worked with the prescription of equipment; and</w:t>
      </w:r>
    </w:p>
    <w:p w14:paraId="63393398" w14:textId="77777777" w:rsidR="00A51EFA" w:rsidRPr="003416B7" w:rsidRDefault="00A51EFA" w:rsidP="00A51EFA">
      <w:pPr>
        <w:numPr>
          <w:ilvl w:val="0"/>
          <w:numId w:val="17"/>
        </w:numPr>
        <w:spacing w:before="60" w:after="60"/>
        <w:rPr>
          <w:rFonts w:asciiTheme="minorHAnsi" w:eastAsia="Times New Roman" w:hAnsiTheme="minorHAnsi"/>
        </w:rPr>
      </w:pPr>
      <w:r w:rsidRPr="003416B7">
        <w:rPr>
          <w:rFonts w:asciiTheme="minorHAnsi" w:eastAsia="Times New Roman" w:hAnsiTheme="minorHAnsi"/>
        </w:rPr>
        <w:t>The number of equipment prescriptions previously completed in that equipment group and type.</w:t>
      </w:r>
    </w:p>
    <w:p w14:paraId="247D3579" w14:textId="77777777" w:rsidR="00A51EFA" w:rsidRPr="003416B7" w:rsidRDefault="00A51EFA" w:rsidP="00A51EFA">
      <w:pPr>
        <w:numPr>
          <w:ilvl w:val="0"/>
          <w:numId w:val="16"/>
        </w:numPr>
        <w:spacing w:before="60" w:after="60"/>
        <w:rPr>
          <w:rFonts w:asciiTheme="minorHAnsi" w:eastAsia="Times New Roman" w:hAnsiTheme="minorHAnsi"/>
        </w:rPr>
      </w:pPr>
      <w:r w:rsidRPr="003416B7">
        <w:rPr>
          <w:rFonts w:asciiTheme="minorHAnsi" w:eastAsia="Times New Roman" w:hAnsiTheme="minorHAnsi"/>
        </w:rPr>
        <w:t>Prescribers complete a declaration on the TEP Prescription Form to confirm that they meet the Professional Criteria for Prescribers.</w:t>
      </w:r>
    </w:p>
    <w:p w14:paraId="727921F8" w14:textId="77777777" w:rsidR="00A51EFA" w:rsidRPr="003416B7" w:rsidRDefault="00A51EFA" w:rsidP="00A51EFA">
      <w:pPr>
        <w:numPr>
          <w:ilvl w:val="0"/>
          <w:numId w:val="16"/>
        </w:numPr>
        <w:spacing w:before="60" w:after="60"/>
        <w:rPr>
          <w:rFonts w:asciiTheme="minorHAnsi" w:eastAsia="Times New Roman" w:hAnsiTheme="minorHAnsi"/>
        </w:rPr>
      </w:pPr>
      <w:r w:rsidRPr="003416B7">
        <w:rPr>
          <w:rFonts w:asciiTheme="minorHAnsi" w:eastAsia="Times New Roman" w:hAnsiTheme="minorHAnsi"/>
        </w:rPr>
        <w:t>These requirements do not replace:</w:t>
      </w:r>
    </w:p>
    <w:p w14:paraId="2C191E15" w14:textId="77777777" w:rsidR="00A51EFA" w:rsidRPr="003416B7" w:rsidRDefault="00A51EFA" w:rsidP="00A51EFA">
      <w:pPr>
        <w:numPr>
          <w:ilvl w:val="0"/>
          <w:numId w:val="18"/>
        </w:numPr>
        <w:spacing w:before="60" w:after="60"/>
        <w:rPr>
          <w:rFonts w:asciiTheme="minorHAnsi" w:eastAsia="Times New Roman" w:hAnsiTheme="minorHAnsi"/>
        </w:rPr>
      </w:pPr>
      <w:r w:rsidRPr="003416B7">
        <w:rPr>
          <w:rFonts w:asciiTheme="minorHAnsi" w:eastAsia="Times New Roman" w:hAnsiTheme="minorHAnsi"/>
        </w:rPr>
        <w:t>The need to document the clinical assessment and clinical reasoning underlying equipment prescription; or</w:t>
      </w:r>
    </w:p>
    <w:p w14:paraId="5AA3D030" w14:textId="77777777" w:rsidR="00A51EFA" w:rsidRPr="003416B7" w:rsidRDefault="00A51EFA" w:rsidP="00A51EFA">
      <w:pPr>
        <w:numPr>
          <w:ilvl w:val="0"/>
          <w:numId w:val="18"/>
        </w:numPr>
        <w:spacing w:before="60" w:after="60"/>
        <w:rPr>
          <w:rFonts w:asciiTheme="minorHAnsi" w:eastAsia="Times New Roman" w:hAnsiTheme="minorHAnsi"/>
        </w:rPr>
      </w:pPr>
      <w:r w:rsidRPr="003416B7">
        <w:rPr>
          <w:rFonts w:asciiTheme="minorHAnsi" w:eastAsia="Times New Roman" w:hAnsiTheme="minorHAnsi"/>
        </w:rPr>
        <w:t>The need for clinical supervision in the workplace, particularly where the prescriber is a new graduate or new to the field of practice.</w:t>
      </w:r>
    </w:p>
    <w:p w14:paraId="5976A2FE" w14:textId="77777777" w:rsidR="00A51EFA" w:rsidRPr="003416B7" w:rsidRDefault="00A51EFA" w:rsidP="00A51EFA">
      <w:p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Table 1: Equipment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6"/>
        <w:gridCol w:w="4142"/>
      </w:tblGrid>
      <w:tr w:rsidR="00A51EFA" w:rsidRPr="003416B7" w14:paraId="620700DF" w14:textId="77777777" w:rsidTr="006630AB">
        <w:tc>
          <w:tcPr>
            <w:tcW w:w="2991" w:type="pct"/>
            <w:tcBorders>
              <w:bottom w:val="single" w:sz="4" w:space="0" w:color="auto"/>
            </w:tcBorders>
            <w:shd w:val="clear" w:color="auto" w:fill="1F1F5F" w:themeFill="text1"/>
          </w:tcPr>
          <w:p w14:paraId="3757D725" w14:textId="77777777" w:rsidR="00A51EFA" w:rsidRPr="006630AB" w:rsidRDefault="00A51EFA" w:rsidP="006630AB">
            <w:pPr>
              <w:jc w:val="center"/>
              <w:rPr>
                <w:b/>
              </w:rPr>
            </w:pPr>
            <w:r w:rsidRPr="006630AB">
              <w:rPr>
                <w:b/>
              </w:rPr>
              <w:t>Equipment Group</w:t>
            </w:r>
          </w:p>
        </w:tc>
        <w:tc>
          <w:tcPr>
            <w:tcW w:w="2009" w:type="pct"/>
            <w:tcBorders>
              <w:bottom w:val="single" w:sz="4" w:space="0" w:color="auto"/>
            </w:tcBorders>
            <w:shd w:val="clear" w:color="auto" w:fill="1F1F5F" w:themeFill="text1"/>
          </w:tcPr>
          <w:p w14:paraId="3FE57D5C" w14:textId="77777777" w:rsidR="00A51EFA" w:rsidRPr="003416B7" w:rsidRDefault="00A51EFA" w:rsidP="00F05DE6">
            <w:pPr>
              <w:spacing w:before="60" w:after="60"/>
              <w:jc w:val="center"/>
              <w:rPr>
                <w:rFonts w:asciiTheme="minorHAnsi" w:eastAsia="Times New Roman" w:hAnsiTheme="minorHAnsi"/>
                <w:b/>
              </w:rPr>
            </w:pPr>
            <w:r w:rsidRPr="003416B7">
              <w:rPr>
                <w:rFonts w:asciiTheme="minorHAnsi" w:eastAsia="Times New Roman" w:hAnsiTheme="minorHAnsi"/>
                <w:b/>
              </w:rPr>
              <w:t>Professional Criteria</w:t>
            </w:r>
          </w:p>
        </w:tc>
      </w:tr>
      <w:tr w:rsidR="00A51EFA" w:rsidRPr="003416B7" w14:paraId="7C98C518" w14:textId="77777777" w:rsidTr="00F05DE6">
        <w:tc>
          <w:tcPr>
            <w:tcW w:w="5000" w:type="pct"/>
            <w:gridSpan w:val="2"/>
            <w:shd w:val="clear" w:color="auto" w:fill="F3F3F3"/>
          </w:tcPr>
          <w:p w14:paraId="41B94BAB" w14:textId="77777777" w:rsidR="00A51EFA" w:rsidRPr="003416B7" w:rsidRDefault="00A51EFA" w:rsidP="00F05DE6">
            <w:pPr>
              <w:spacing w:before="60" w:after="60"/>
              <w:jc w:val="center"/>
              <w:rPr>
                <w:rFonts w:asciiTheme="minorHAnsi" w:eastAsia="Times New Roman" w:hAnsiTheme="minorHAnsi"/>
                <w:b/>
              </w:rPr>
            </w:pPr>
            <w:r w:rsidRPr="003416B7">
              <w:rPr>
                <w:rFonts w:asciiTheme="minorHAnsi" w:eastAsia="Times New Roman" w:hAnsiTheme="minorHAnsi"/>
                <w:b/>
              </w:rPr>
              <w:t>Level 1 General Equipment</w:t>
            </w:r>
          </w:p>
        </w:tc>
      </w:tr>
      <w:tr w:rsidR="00A51EFA" w:rsidRPr="003416B7" w14:paraId="721C7875" w14:textId="77777777" w:rsidTr="00F05DE6">
        <w:tc>
          <w:tcPr>
            <w:tcW w:w="2991" w:type="pct"/>
            <w:tcBorders>
              <w:bottom w:val="single" w:sz="4" w:space="0" w:color="auto"/>
            </w:tcBorders>
            <w:shd w:val="clear" w:color="auto" w:fill="auto"/>
          </w:tcPr>
          <w:p w14:paraId="0BCE3217" w14:textId="77777777" w:rsidR="00A51EFA" w:rsidRPr="003416B7" w:rsidRDefault="00A51EFA" w:rsidP="00A51EFA">
            <w:pPr>
              <w:numPr>
                <w:ilvl w:val="0"/>
                <w:numId w:val="9"/>
              </w:numPr>
              <w:tabs>
                <w:tab w:val="num" w:pos="720"/>
              </w:tabs>
              <w:spacing w:before="60" w:after="60"/>
              <w:jc w:val="both"/>
              <w:rPr>
                <w:rFonts w:asciiTheme="minorHAnsi" w:eastAsia="Times New Roman" w:hAnsiTheme="minorHAnsi"/>
              </w:rPr>
            </w:pPr>
            <w:r w:rsidRPr="003416B7">
              <w:rPr>
                <w:rFonts w:asciiTheme="minorHAnsi" w:eastAsia="Times New Roman" w:hAnsiTheme="minorHAnsi"/>
              </w:rPr>
              <w:t>Simple to set-up and use</w:t>
            </w:r>
          </w:p>
          <w:p w14:paraId="00646650" w14:textId="77777777" w:rsidR="00A51EFA" w:rsidRPr="003416B7" w:rsidRDefault="00A51EFA" w:rsidP="00A51EFA">
            <w:pPr>
              <w:numPr>
                <w:ilvl w:val="0"/>
                <w:numId w:val="9"/>
              </w:numPr>
              <w:tabs>
                <w:tab w:val="num" w:pos="720"/>
              </w:tabs>
              <w:spacing w:before="60" w:after="60"/>
              <w:jc w:val="both"/>
              <w:rPr>
                <w:rFonts w:asciiTheme="minorHAnsi" w:eastAsia="Times New Roman" w:hAnsiTheme="minorHAnsi"/>
              </w:rPr>
            </w:pPr>
            <w:r w:rsidRPr="003416B7">
              <w:rPr>
                <w:rFonts w:asciiTheme="minorHAnsi" w:eastAsia="Times New Roman" w:hAnsiTheme="minorHAnsi"/>
              </w:rPr>
              <w:t>Not custom-made</w:t>
            </w:r>
          </w:p>
          <w:p w14:paraId="26B5C941" w14:textId="77777777" w:rsidR="00A51EFA" w:rsidRPr="003416B7" w:rsidRDefault="00A51EFA" w:rsidP="00A51EFA">
            <w:pPr>
              <w:numPr>
                <w:ilvl w:val="0"/>
                <w:numId w:val="9"/>
              </w:numPr>
              <w:tabs>
                <w:tab w:val="num" w:pos="720"/>
              </w:tabs>
              <w:spacing w:before="60" w:after="60"/>
              <w:rPr>
                <w:rFonts w:asciiTheme="minorHAnsi" w:eastAsia="Times New Roman" w:hAnsiTheme="minorHAnsi"/>
              </w:rPr>
            </w:pPr>
            <w:r w:rsidRPr="003416B7">
              <w:rPr>
                <w:rFonts w:asciiTheme="minorHAnsi" w:eastAsia="Times New Roman" w:hAnsiTheme="minorHAnsi"/>
              </w:rPr>
              <w:t>Frequently prescribed; and</w:t>
            </w:r>
          </w:p>
          <w:p w14:paraId="26F69350" w14:textId="77777777" w:rsidR="00A51EFA" w:rsidRPr="003416B7" w:rsidRDefault="00A51EFA" w:rsidP="00A51EFA">
            <w:pPr>
              <w:numPr>
                <w:ilvl w:val="0"/>
                <w:numId w:val="9"/>
              </w:numPr>
              <w:tabs>
                <w:tab w:val="num" w:pos="720"/>
              </w:tabs>
              <w:spacing w:before="60" w:after="60"/>
              <w:rPr>
                <w:rFonts w:asciiTheme="minorHAnsi" w:eastAsia="Times New Roman" w:hAnsiTheme="minorHAnsi"/>
              </w:rPr>
            </w:pPr>
            <w:r w:rsidRPr="003416B7">
              <w:rPr>
                <w:rFonts w:asciiTheme="minorHAnsi" w:eastAsia="Times New Roman" w:hAnsiTheme="minorHAnsi"/>
              </w:rPr>
              <w:t>Stands alone and is not integrated with other equipment</w:t>
            </w:r>
          </w:p>
        </w:tc>
        <w:tc>
          <w:tcPr>
            <w:tcW w:w="2009" w:type="pct"/>
            <w:tcBorders>
              <w:bottom w:val="single" w:sz="4" w:space="0" w:color="auto"/>
            </w:tcBorders>
            <w:shd w:val="clear" w:color="auto" w:fill="auto"/>
          </w:tcPr>
          <w:p w14:paraId="5C7E3DFA" w14:textId="77777777" w:rsidR="00A51EFA" w:rsidRPr="003416B7" w:rsidRDefault="00A51EFA" w:rsidP="00F05DE6">
            <w:pPr>
              <w:spacing w:before="60" w:after="60"/>
              <w:rPr>
                <w:rFonts w:asciiTheme="minorHAnsi" w:eastAsia="Times New Roman" w:hAnsiTheme="minorHAnsi"/>
              </w:rPr>
            </w:pPr>
            <w:r w:rsidRPr="003416B7">
              <w:rPr>
                <w:rFonts w:asciiTheme="minorHAnsi" w:eastAsia="Times New Roman" w:hAnsiTheme="minorHAnsi"/>
              </w:rPr>
              <w:t>Stipulated Qualification only.</w:t>
            </w:r>
          </w:p>
        </w:tc>
      </w:tr>
      <w:tr w:rsidR="00A51EFA" w:rsidRPr="003416B7" w14:paraId="21B23977" w14:textId="77777777" w:rsidTr="00F05DE6">
        <w:tc>
          <w:tcPr>
            <w:tcW w:w="5000" w:type="pct"/>
            <w:gridSpan w:val="2"/>
            <w:shd w:val="clear" w:color="auto" w:fill="F3F3F3"/>
          </w:tcPr>
          <w:p w14:paraId="49461C23" w14:textId="77777777" w:rsidR="00A51EFA" w:rsidRPr="003416B7" w:rsidRDefault="00A51EFA" w:rsidP="00F05DE6">
            <w:pPr>
              <w:spacing w:before="60" w:after="60"/>
              <w:jc w:val="center"/>
              <w:rPr>
                <w:rFonts w:asciiTheme="minorHAnsi" w:eastAsia="Times New Roman" w:hAnsiTheme="minorHAnsi"/>
                <w:b/>
              </w:rPr>
            </w:pPr>
            <w:r w:rsidRPr="003416B7">
              <w:rPr>
                <w:rFonts w:asciiTheme="minorHAnsi" w:eastAsia="Times New Roman" w:hAnsiTheme="minorHAnsi"/>
                <w:b/>
              </w:rPr>
              <w:t>Level 2 General Equipment</w:t>
            </w:r>
          </w:p>
        </w:tc>
      </w:tr>
      <w:tr w:rsidR="00A51EFA" w:rsidRPr="003416B7" w14:paraId="3A65E7A7" w14:textId="77777777" w:rsidTr="00F05DE6">
        <w:tc>
          <w:tcPr>
            <w:tcW w:w="2991" w:type="pct"/>
            <w:tcBorders>
              <w:bottom w:val="single" w:sz="4" w:space="0" w:color="auto"/>
            </w:tcBorders>
            <w:shd w:val="clear" w:color="auto" w:fill="auto"/>
          </w:tcPr>
          <w:p w14:paraId="4D536066" w14:textId="77777777" w:rsidR="00A51EFA" w:rsidRPr="003416B7" w:rsidRDefault="00A51EFA" w:rsidP="00A51EFA">
            <w:pPr>
              <w:numPr>
                <w:ilvl w:val="0"/>
                <w:numId w:val="10"/>
              </w:numPr>
              <w:tabs>
                <w:tab w:val="num" w:pos="720"/>
              </w:tabs>
              <w:spacing w:before="60" w:after="60"/>
              <w:rPr>
                <w:rFonts w:asciiTheme="minorHAnsi" w:eastAsia="Times New Roman" w:hAnsiTheme="minorHAnsi"/>
              </w:rPr>
            </w:pPr>
            <w:r w:rsidRPr="003416B7">
              <w:rPr>
                <w:rFonts w:asciiTheme="minorHAnsi" w:eastAsia="Times New Roman" w:hAnsiTheme="minorHAnsi"/>
              </w:rPr>
              <w:t>Complex to set-up and requires training to use safely; or</w:t>
            </w:r>
          </w:p>
          <w:p w14:paraId="12A5FE8D" w14:textId="77777777" w:rsidR="00A51EFA" w:rsidRPr="003416B7" w:rsidRDefault="00A51EFA" w:rsidP="00A51EFA">
            <w:pPr>
              <w:numPr>
                <w:ilvl w:val="0"/>
                <w:numId w:val="10"/>
              </w:numPr>
              <w:tabs>
                <w:tab w:val="num" w:pos="720"/>
              </w:tabs>
              <w:spacing w:before="60" w:after="60"/>
              <w:rPr>
                <w:rFonts w:asciiTheme="minorHAnsi" w:eastAsia="Times New Roman" w:hAnsiTheme="minorHAnsi"/>
              </w:rPr>
            </w:pPr>
            <w:r w:rsidRPr="003416B7">
              <w:rPr>
                <w:rFonts w:asciiTheme="minorHAnsi" w:eastAsia="Times New Roman" w:hAnsiTheme="minorHAnsi"/>
              </w:rPr>
              <w:t>Potential adverse  outcome for a client/carer/attendant care worker if not prescribed or used appropriately; or</w:t>
            </w:r>
          </w:p>
          <w:p w14:paraId="0523245E" w14:textId="77777777" w:rsidR="00A51EFA" w:rsidRPr="003416B7" w:rsidRDefault="00A51EFA" w:rsidP="00A51EFA">
            <w:pPr>
              <w:numPr>
                <w:ilvl w:val="0"/>
                <w:numId w:val="10"/>
              </w:numPr>
              <w:tabs>
                <w:tab w:val="num" w:pos="720"/>
              </w:tabs>
              <w:spacing w:before="60" w:after="60"/>
              <w:jc w:val="both"/>
              <w:rPr>
                <w:rFonts w:asciiTheme="minorHAnsi" w:eastAsia="Times New Roman" w:hAnsiTheme="minorHAnsi"/>
              </w:rPr>
            </w:pPr>
            <w:r w:rsidRPr="003416B7">
              <w:rPr>
                <w:rFonts w:asciiTheme="minorHAnsi" w:eastAsia="Times New Roman" w:hAnsiTheme="minorHAnsi"/>
              </w:rPr>
              <w:t>Custom-made; or</w:t>
            </w:r>
          </w:p>
          <w:p w14:paraId="3036E604" w14:textId="77777777" w:rsidR="00A51EFA" w:rsidRPr="003416B7" w:rsidRDefault="00A51EFA" w:rsidP="00A51EFA">
            <w:pPr>
              <w:numPr>
                <w:ilvl w:val="0"/>
                <w:numId w:val="10"/>
              </w:numPr>
              <w:tabs>
                <w:tab w:val="num" w:pos="720"/>
              </w:tabs>
              <w:spacing w:before="60" w:after="60"/>
              <w:jc w:val="both"/>
              <w:rPr>
                <w:rFonts w:asciiTheme="minorHAnsi" w:eastAsia="Times New Roman" w:hAnsiTheme="minorHAnsi"/>
              </w:rPr>
            </w:pPr>
            <w:r w:rsidRPr="003416B7">
              <w:rPr>
                <w:rFonts w:asciiTheme="minorHAnsi" w:eastAsia="Times New Roman" w:hAnsiTheme="minorHAnsi"/>
              </w:rPr>
              <w:t>Infrequently prescribed; or</w:t>
            </w:r>
          </w:p>
          <w:p w14:paraId="45230650" w14:textId="77777777" w:rsidR="00A51EFA" w:rsidRPr="003416B7" w:rsidRDefault="00A51EFA" w:rsidP="00A51EFA">
            <w:pPr>
              <w:numPr>
                <w:ilvl w:val="0"/>
                <w:numId w:val="10"/>
              </w:numPr>
              <w:tabs>
                <w:tab w:val="num" w:pos="720"/>
              </w:tabs>
              <w:spacing w:before="60" w:after="60"/>
              <w:rPr>
                <w:rFonts w:asciiTheme="minorHAnsi" w:eastAsia="Times New Roman" w:hAnsiTheme="minorHAnsi"/>
              </w:rPr>
            </w:pPr>
            <w:r w:rsidRPr="003416B7">
              <w:rPr>
                <w:rFonts w:asciiTheme="minorHAnsi" w:eastAsia="Times New Roman" w:hAnsiTheme="minorHAnsi"/>
              </w:rPr>
              <w:t>Integrated or interfaces with other equipment.</w:t>
            </w:r>
          </w:p>
        </w:tc>
        <w:tc>
          <w:tcPr>
            <w:tcW w:w="2009" w:type="pct"/>
            <w:tcBorders>
              <w:bottom w:val="single" w:sz="4" w:space="0" w:color="auto"/>
            </w:tcBorders>
            <w:shd w:val="clear" w:color="auto" w:fill="auto"/>
          </w:tcPr>
          <w:p w14:paraId="6BB60340" w14:textId="77777777" w:rsidR="00A51EFA" w:rsidRPr="003416B7" w:rsidRDefault="00A51EFA" w:rsidP="00F05DE6">
            <w:pPr>
              <w:spacing w:before="60" w:after="60"/>
              <w:rPr>
                <w:rFonts w:asciiTheme="minorHAnsi" w:eastAsia="Times New Roman" w:hAnsiTheme="minorHAnsi"/>
              </w:rPr>
            </w:pPr>
            <w:r w:rsidRPr="003416B7">
              <w:rPr>
                <w:rFonts w:asciiTheme="minorHAnsi" w:eastAsia="Times New Roman" w:hAnsiTheme="minorHAnsi"/>
              </w:rPr>
              <w:t>Stipulated Qualification; and</w:t>
            </w:r>
          </w:p>
          <w:p w14:paraId="40A7A66F" w14:textId="77777777" w:rsidR="00A51EFA" w:rsidRPr="003416B7" w:rsidRDefault="00A51EFA" w:rsidP="00A51EFA">
            <w:pPr>
              <w:numPr>
                <w:ilvl w:val="0"/>
                <w:numId w:val="11"/>
              </w:numPr>
              <w:tabs>
                <w:tab w:val="num" w:pos="720"/>
              </w:tabs>
              <w:spacing w:before="60" w:after="60"/>
              <w:rPr>
                <w:rFonts w:asciiTheme="minorHAnsi" w:eastAsia="Times New Roman" w:hAnsiTheme="minorHAnsi"/>
              </w:rPr>
            </w:pPr>
            <w:r w:rsidRPr="003416B7">
              <w:rPr>
                <w:rFonts w:asciiTheme="minorHAnsi" w:eastAsia="Times New Roman" w:hAnsiTheme="minorHAnsi"/>
              </w:rPr>
              <w:t>Greater than 1 year clinical experience; and</w:t>
            </w:r>
          </w:p>
          <w:p w14:paraId="7AA8D7A6" w14:textId="77777777" w:rsidR="00A51EFA" w:rsidRPr="003416B7" w:rsidRDefault="00A51EFA" w:rsidP="00A51EFA">
            <w:pPr>
              <w:numPr>
                <w:ilvl w:val="0"/>
                <w:numId w:val="11"/>
              </w:numPr>
              <w:tabs>
                <w:tab w:val="num" w:pos="720"/>
              </w:tabs>
              <w:spacing w:before="60" w:after="60"/>
              <w:rPr>
                <w:rFonts w:asciiTheme="minorHAnsi" w:eastAsia="Times New Roman" w:hAnsiTheme="minorHAnsi"/>
              </w:rPr>
            </w:pPr>
            <w:r w:rsidRPr="003416B7">
              <w:rPr>
                <w:rFonts w:asciiTheme="minorHAnsi" w:eastAsia="Times New Roman" w:hAnsiTheme="minorHAnsi"/>
              </w:rPr>
              <w:t>3 previous prescriptions for Level 2 General equipment in the specified Equipment Type.</w:t>
            </w:r>
          </w:p>
        </w:tc>
      </w:tr>
      <w:tr w:rsidR="00A51EFA" w:rsidRPr="003416B7" w14:paraId="03B622AA" w14:textId="77777777" w:rsidTr="00F05DE6">
        <w:tc>
          <w:tcPr>
            <w:tcW w:w="5000" w:type="pct"/>
            <w:gridSpan w:val="2"/>
            <w:shd w:val="clear" w:color="auto" w:fill="F3F3F3"/>
          </w:tcPr>
          <w:p w14:paraId="7274BE51" w14:textId="77777777" w:rsidR="00A51EFA" w:rsidRPr="003416B7" w:rsidRDefault="00A51EFA" w:rsidP="00F05DE6">
            <w:pPr>
              <w:spacing w:before="60" w:after="60"/>
              <w:jc w:val="center"/>
              <w:rPr>
                <w:rFonts w:asciiTheme="minorHAnsi" w:eastAsia="Times New Roman" w:hAnsiTheme="minorHAnsi"/>
                <w:b/>
              </w:rPr>
            </w:pPr>
            <w:r w:rsidRPr="003416B7">
              <w:rPr>
                <w:rFonts w:asciiTheme="minorHAnsi" w:eastAsia="Times New Roman" w:hAnsiTheme="minorHAnsi"/>
                <w:b/>
              </w:rPr>
              <w:t>Level 2 Seating Equipment</w:t>
            </w:r>
          </w:p>
        </w:tc>
      </w:tr>
      <w:tr w:rsidR="00A51EFA" w:rsidRPr="003416B7" w14:paraId="57F040D2" w14:textId="77777777" w:rsidTr="00F05DE6">
        <w:tc>
          <w:tcPr>
            <w:tcW w:w="2991" w:type="pct"/>
            <w:shd w:val="clear" w:color="auto" w:fill="auto"/>
          </w:tcPr>
          <w:p w14:paraId="7D5C8355" w14:textId="77777777" w:rsidR="00A51EFA" w:rsidRPr="003416B7" w:rsidRDefault="00A51EFA" w:rsidP="00A51EFA">
            <w:pPr>
              <w:numPr>
                <w:ilvl w:val="0"/>
                <w:numId w:val="13"/>
              </w:numPr>
              <w:tabs>
                <w:tab w:val="num" w:pos="720"/>
              </w:tabs>
              <w:spacing w:before="60" w:after="60"/>
              <w:rPr>
                <w:rFonts w:asciiTheme="minorHAnsi" w:eastAsia="Times New Roman" w:hAnsiTheme="minorHAnsi"/>
              </w:rPr>
            </w:pPr>
            <w:r w:rsidRPr="003416B7">
              <w:rPr>
                <w:rFonts w:asciiTheme="minorHAnsi" w:eastAsia="Times New Roman" w:hAnsiTheme="minorHAnsi"/>
              </w:rPr>
              <w:t>Consists of several component pieces of equipment that must integrate to achieve the goal for the client; or</w:t>
            </w:r>
          </w:p>
          <w:p w14:paraId="61276131" w14:textId="77777777" w:rsidR="00A51EFA" w:rsidRPr="003416B7" w:rsidRDefault="00A51EFA" w:rsidP="00A51EFA">
            <w:pPr>
              <w:numPr>
                <w:ilvl w:val="0"/>
                <w:numId w:val="13"/>
              </w:numPr>
              <w:tabs>
                <w:tab w:val="num" w:pos="720"/>
              </w:tabs>
              <w:spacing w:before="60" w:after="60"/>
              <w:rPr>
                <w:rFonts w:asciiTheme="minorHAnsi" w:eastAsia="Times New Roman" w:hAnsiTheme="minorHAnsi"/>
              </w:rPr>
            </w:pPr>
            <w:r w:rsidRPr="003416B7">
              <w:rPr>
                <w:rFonts w:asciiTheme="minorHAnsi" w:eastAsia="Times New Roman" w:hAnsiTheme="minorHAnsi"/>
              </w:rPr>
              <w:t>Due to the risk to the client the clinical expertise of a Specialised Seating Clinician is required to prescribe accurately.</w:t>
            </w:r>
          </w:p>
        </w:tc>
        <w:tc>
          <w:tcPr>
            <w:tcW w:w="2009" w:type="pct"/>
            <w:shd w:val="clear" w:color="auto" w:fill="auto"/>
          </w:tcPr>
          <w:p w14:paraId="3EC884D2" w14:textId="77777777" w:rsidR="00A51EFA" w:rsidRPr="003416B7" w:rsidRDefault="00A51EFA" w:rsidP="00F05DE6">
            <w:pPr>
              <w:spacing w:before="60" w:after="60"/>
              <w:rPr>
                <w:rFonts w:asciiTheme="minorHAnsi" w:eastAsia="Times New Roman" w:hAnsiTheme="minorHAnsi"/>
              </w:rPr>
            </w:pPr>
            <w:r w:rsidRPr="003416B7">
              <w:rPr>
                <w:rFonts w:asciiTheme="minorHAnsi" w:eastAsia="Times New Roman" w:hAnsiTheme="minorHAnsi"/>
              </w:rPr>
              <w:t>Stipulated Qualification; and</w:t>
            </w:r>
          </w:p>
          <w:p w14:paraId="2D9C34F9" w14:textId="77777777" w:rsidR="00A51EFA" w:rsidRPr="003416B7" w:rsidRDefault="00A51EFA" w:rsidP="00A51EFA">
            <w:pPr>
              <w:numPr>
                <w:ilvl w:val="0"/>
                <w:numId w:val="12"/>
              </w:numPr>
              <w:tabs>
                <w:tab w:val="num" w:pos="720"/>
              </w:tabs>
              <w:spacing w:before="60" w:after="60"/>
              <w:rPr>
                <w:rFonts w:asciiTheme="minorHAnsi" w:eastAsia="Times New Roman" w:hAnsiTheme="minorHAnsi"/>
              </w:rPr>
            </w:pPr>
            <w:r w:rsidRPr="003416B7">
              <w:rPr>
                <w:rFonts w:asciiTheme="minorHAnsi" w:eastAsia="Times New Roman" w:hAnsiTheme="minorHAnsi"/>
              </w:rPr>
              <w:t>Greater than 3 years clinical experience; and</w:t>
            </w:r>
          </w:p>
          <w:p w14:paraId="5CA8EF46" w14:textId="77777777" w:rsidR="00A51EFA" w:rsidRPr="003416B7" w:rsidRDefault="00A51EFA" w:rsidP="00A51EFA">
            <w:pPr>
              <w:numPr>
                <w:ilvl w:val="0"/>
                <w:numId w:val="12"/>
              </w:numPr>
              <w:tabs>
                <w:tab w:val="num" w:pos="720"/>
              </w:tabs>
              <w:spacing w:before="60" w:after="60"/>
              <w:rPr>
                <w:rFonts w:asciiTheme="minorHAnsi" w:eastAsia="Times New Roman" w:hAnsiTheme="minorHAnsi"/>
              </w:rPr>
            </w:pPr>
            <w:r w:rsidRPr="003416B7">
              <w:rPr>
                <w:rFonts w:asciiTheme="minorHAnsi" w:eastAsia="Times New Roman" w:hAnsiTheme="minorHAnsi"/>
              </w:rPr>
              <w:t>3 previous prescriptions for Level 2 Specialised Seating Equipment in the specified Equipment Type.</w:t>
            </w:r>
          </w:p>
        </w:tc>
      </w:tr>
    </w:tbl>
    <w:p w14:paraId="36F3A3D0" w14:textId="77777777" w:rsidR="00A51EFA" w:rsidRPr="003416B7" w:rsidRDefault="00A51EFA" w:rsidP="00A51EFA">
      <w:pPr>
        <w:numPr>
          <w:ilvl w:val="0"/>
          <w:numId w:val="19"/>
        </w:numPr>
        <w:spacing w:before="240" w:after="120"/>
        <w:outlineLvl w:val="3"/>
        <w:rPr>
          <w:rFonts w:asciiTheme="minorHAnsi" w:eastAsia="Times New Roman" w:hAnsiTheme="minorHAnsi"/>
          <w:b/>
          <w:vanish/>
          <w:color w:val="606060"/>
          <w:lang w:eastAsia="en-AU"/>
        </w:rPr>
      </w:pPr>
    </w:p>
    <w:p w14:paraId="3BE02F24" w14:textId="77777777" w:rsidR="00A51EFA" w:rsidRPr="003416B7" w:rsidRDefault="00A51EFA" w:rsidP="00A51EFA">
      <w:pPr>
        <w:numPr>
          <w:ilvl w:val="0"/>
          <w:numId w:val="19"/>
        </w:numPr>
        <w:spacing w:before="240" w:after="120"/>
        <w:outlineLvl w:val="3"/>
        <w:rPr>
          <w:rFonts w:asciiTheme="minorHAnsi" w:eastAsia="Times New Roman" w:hAnsiTheme="minorHAnsi"/>
          <w:b/>
          <w:vanish/>
          <w:color w:val="606060"/>
          <w:lang w:eastAsia="en-AU"/>
        </w:rPr>
      </w:pPr>
    </w:p>
    <w:p w14:paraId="227D43FC" w14:textId="77777777" w:rsidR="00A51EFA" w:rsidRPr="003416B7" w:rsidRDefault="00A51EFA" w:rsidP="00A51EFA">
      <w:pPr>
        <w:numPr>
          <w:ilvl w:val="0"/>
          <w:numId w:val="19"/>
        </w:numPr>
        <w:spacing w:before="240" w:after="120"/>
        <w:outlineLvl w:val="3"/>
        <w:rPr>
          <w:rFonts w:asciiTheme="minorHAnsi" w:eastAsia="Times New Roman" w:hAnsiTheme="minorHAnsi"/>
          <w:b/>
          <w:vanish/>
          <w:color w:val="606060"/>
          <w:lang w:eastAsia="en-AU"/>
        </w:rPr>
      </w:pPr>
    </w:p>
    <w:p w14:paraId="3AA5CE19" w14:textId="77777777" w:rsidR="00A51EFA" w:rsidRPr="003416B7" w:rsidRDefault="00A51EFA" w:rsidP="00A51EFA">
      <w:pPr>
        <w:numPr>
          <w:ilvl w:val="0"/>
          <w:numId w:val="19"/>
        </w:numPr>
        <w:spacing w:before="240" w:after="120"/>
        <w:outlineLvl w:val="3"/>
        <w:rPr>
          <w:rFonts w:asciiTheme="minorHAnsi" w:eastAsia="Times New Roman" w:hAnsiTheme="minorHAnsi"/>
          <w:b/>
          <w:vanish/>
          <w:color w:val="606060"/>
          <w:lang w:eastAsia="en-AU"/>
        </w:rPr>
      </w:pPr>
    </w:p>
    <w:p w14:paraId="05E06DBA" w14:textId="77777777" w:rsidR="00A51EFA" w:rsidRPr="00152280" w:rsidRDefault="00A51EFA" w:rsidP="00A51EFA">
      <w:pPr>
        <w:pStyle w:val="ListParagraph"/>
        <w:numPr>
          <w:ilvl w:val="0"/>
          <w:numId w:val="29"/>
        </w:numPr>
        <w:spacing w:before="240"/>
        <w:outlineLvl w:val="2"/>
        <w:rPr>
          <w:rFonts w:asciiTheme="minorHAnsi" w:eastAsia="Times New Roman" w:hAnsiTheme="minorHAnsi"/>
          <w:b/>
          <w:iCs w:val="0"/>
          <w:vanish/>
          <w:sz w:val="24"/>
          <w:szCs w:val="24"/>
          <w:lang w:eastAsia="en-AU"/>
        </w:rPr>
      </w:pPr>
    </w:p>
    <w:p w14:paraId="0DDE277B" w14:textId="77777777" w:rsidR="00A51EFA" w:rsidRPr="00152280" w:rsidRDefault="00A51EFA" w:rsidP="00A51EFA">
      <w:pPr>
        <w:pStyle w:val="ListParagraph"/>
        <w:numPr>
          <w:ilvl w:val="0"/>
          <w:numId w:val="29"/>
        </w:numPr>
        <w:spacing w:before="240"/>
        <w:outlineLvl w:val="2"/>
        <w:rPr>
          <w:rFonts w:asciiTheme="minorHAnsi" w:eastAsia="Times New Roman" w:hAnsiTheme="minorHAnsi"/>
          <w:b/>
          <w:iCs w:val="0"/>
          <w:vanish/>
          <w:sz w:val="24"/>
          <w:szCs w:val="24"/>
          <w:lang w:eastAsia="en-AU"/>
        </w:rPr>
      </w:pPr>
    </w:p>
    <w:p w14:paraId="1E9D41EC" w14:textId="77777777" w:rsidR="00A51EFA" w:rsidRPr="00152280" w:rsidRDefault="00A51EFA" w:rsidP="00A51EFA">
      <w:pPr>
        <w:pStyle w:val="ListParagraph"/>
        <w:numPr>
          <w:ilvl w:val="0"/>
          <w:numId w:val="29"/>
        </w:numPr>
        <w:spacing w:before="240"/>
        <w:outlineLvl w:val="2"/>
        <w:rPr>
          <w:rFonts w:asciiTheme="minorHAnsi" w:eastAsia="Times New Roman" w:hAnsiTheme="minorHAnsi"/>
          <w:b/>
          <w:iCs w:val="0"/>
          <w:vanish/>
          <w:sz w:val="24"/>
          <w:szCs w:val="24"/>
          <w:lang w:eastAsia="en-AU"/>
        </w:rPr>
      </w:pPr>
    </w:p>
    <w:p w14:paraId="11F6C2F8"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Level 1 Equipment and Complex Clients</w:t>
      </w:r>
    </w:p>
    <w:p w14:paraId="42A25B77" w14:textId="77777777" w:rsidR="00A51EFA" w:rsidRPr="003416B7" w:rsidRDefault="00A51EFA" w:rsidP="00A51EFA">
      <w:pPr>
        <w:numPr>
          <w:ilvl w:val="0"/>
          <w:numId w:val="20"/>
        </w:numPr>
        <w:spacing w:before="60" w:after="60"/>
        <w:rPr>
          <w:rFonts w:asciiTheme="minorHAnsi" w:eastAsia="Times New Roman" w:hAnsiTheme="minorHAnsi"/>
        </w:rPr>
      </w:pPr>
      <w:r w:rsidRPr="003416B7">
        <w:rPr>
          <w:rFonts w:asciiTheme="minorHAnsi" w:eastAsia="Times New Roman" w:hAnsiTheme="minorHAnsi"/>
        </w:rPr>
        <w:t>Level 1 Equipment may be prescribed for a client with a complex condition such as significant neurological impairment or spinal injury.  Although qualification alone is required in this instance, inexperienced prescribers should still seek or use additional clinical supervision to ensure that the prescription is correct.</w:t>
      </w:r>
    </w:p>
    <w:p w14:paraId="699BC6FC"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Approved Prescriber Level</w:t>
      </w:r>
    </w:p>
    <w:p w14:paraId="182D9AD3" w14:textId="77777777" w:rsidR="00A51EFA" w:rsidRPr="003416B7" w:rsidRDefault="00A51EFA" w:rsidP="00A51EFA">
      <w:pPr>
        <w:numPr>
          <w:ilvl w:val="0"/>
          <w:numId w:val="21"/>
        </w:numPr>
        <w:spacing w:before="60" w:after="60"/>
        <w:rPr>
          <w:rFonts w:asciiTheme="minorHAnsi" w:eastAsia="Times New Roman" w:hAnsiTheme="minorHAnsi"/>
        </w:rPr>
      </w:pPr>
      <w:r w:rsidRPr="003416B7">
        <w:rPr>
          <w:rFonts w:asciiTheme="minorHAnsi" w:eastAsia="Times New Roman" w:hAnsiTheme="minorHAnsi"/>
        </w:rPr>
        <w:t>Registered Level 1 Approved Prescribers may wish to prescribe more complex Level 2 equipment. Prescribers will need DEP prescriptions endorsed by a higher level Approved Prescriber. If there is no higher level Approved Prescriber in their region, the prescriber will need to seek higher level Approved Prescriber endorsement from another region. The TEP Clinical Leader may assist to identify an appropriate Approved Prescriber.</w:t>
      </w:r>
    </w:p>
    <w:p w14:paraId="28994BFF" w14:textId="77777777" w:rsidR="00A51EFA" w:rsidRPr="003416B7" w:rsidRDefault="00A51EFA" w:rsidP="00A51EFA">
      <w:pPr>
        <w:numPr>
          <w:ilvl w:val="0"/>
          <w:numId w:val="21"/>
        </w:numPr>
        <w:spacing w:before="60" w:after="60"/>
        <w:rPr>
          <w:rFonts w:asciiTheme="minorHAnsi" w:eastAsia="Times New Roman" w:hAnsiTheme="minorHAnsi"/>
        </w:rPr>
      </w:pPr>
      <w:r w:rsidRPr="003416B7">
        <w:rPr>
          <w:rFonts w:asciiTheme="minorHAnsi" w:eastAsia="Times New Roman" w:hAnsiTheme="minorHAnsi"/>
        </w:rPr>
        <w:t>Speech pathologists registered as a Level 1 Approved Prescriber may prescribe Level 2 Communication Aids and Devices where there is no Approved Prescriber at the appropriate level in the NT due to the infrequency of prescription. In this instance they will need:</w:t>
      </w:r>
    </w:p>
    <w:p w14:paraId="1C054A15" w14:textId="77777777" w:rsidR="00A51EFA" w:rsidRPr="003416B7" w:rsidRDefault="00A51EFA" w:rsidP="00A51EFA">
      <w:pPr>
        <w:numPr>
          <w:ilvl w:val="0"/>
          <w:numId w:val="22"/>
        </w:numPr>
        <w:spacing w:before="60" w:after="60"/>
        <w:rPr>
          <w:rFonts w:asciiTheme="minorHAnsi" w:eastAsia="Times New Roman" w:hAnsiTheme="minorHAnsi"/>
        </w:rPr>
      </w:pPr>
      <w:r w:rsidRPr="003416B7">
        <w:rPr>
          <w:rFonts w:asciiTheme="minorHAnsi" w:eastAsia="Times New Roman" w:hAnsiTheme="minorHAnsi"/>
        </w:rPr>
        <w:t>More than 1 year clinical experience; and</w:t>
      </w:r>
    </w:p>
    <w:p w14:paraId="11F7D64F" w14:textId="77777777" w:rsidR="00A51EFA" w:rsidRPr="003416B7" w:rsidRDefault="00A51EFA" w:rsidP="00A51EFA">
      <w:pPr>
        <w:numPr>
          <w:ilvl w:val="0"/>
          <w:numId w:val="22"/>
        </w:numPr>
        <w:spacing w:before="60" w:after="60"/>
        <w:rPr>
          <w:rFonts w:asciiTheme="minorHAnsi" w:eastAsia="Times New Roman" w:hAnsiTheme="minorHAnsi"/>
        </w:rPr>
      </w:pPr>
      <w:r w:rsidRPr="003416B7">
        <w:rPr>
          <w:rFonts w:asciiTheme="minorHAnsi" w:eastAsia="Times New Roman" w:hAnsiTheme="minorHAnsi"/>
        </w:rPr>
        <w:t>Prescriptions must be co-signed by Approved Prescriber Speech Pathologist with 5 or more years of experience.</w:t>
      </w:r>
    </w:p>
    <w:p w14:paraId="6BE53D88" w14:textId="77777777" w:rsidR="00A51EFA" w:rsidRPr="003416B7" w:rsidRDefault="00A51EFA" w:rsidP="00A51EFA">
      <w:pPr>
        <w:numPr>
          <w:ilvl w:val="0"/>
          <w:numId w:val="21"/>
        </w:numPr>
        <w:spacing w:before="60" w:after="60"/>
        <w:rPr>
          <w:rFonts w:asciiTheme="minorHAnsi" w:eastAsia="Times New Roman" w:hAnsiTheme="minorHAnsi"/>
        </w:rPr>
      </w:pPr>
      <w:r w:rsidRPr="003416B7">
        <w:rPr>
          <w:rFonts w:asciiTheme="minorHAnsi" w:eastAsia="Times New Roman" w:hAnsiTheme="minorHAnsi"/>
        </w:rPr>
        <w:t>Where there is no Approved Prescriber at the appropriate level in the NT prescribers may need to assess and trial equipment with the support of experienced interstate prescribers. Prescribers will need TEP prescriptions endorsed by the experienced interstate prescriber. Interstate prescribers will need to be registered as TEP Approved Prescribers or provide proof of a relevant equivalent registration, in another State or Territory.</w:t>
      </w:r>
    </w:p>
    <w:p w14:paraId="54768A62"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Endorsing Prescriptions</w:t>
      </w:r>
    </w:p>
    <w:p w14:paraId="62A7B4BB" w14:textId="77777777" w:rsidR="00A51EFA" w:rsidRPr="003416B7" w:rsidRDefault="00A51EFA" w:rsidP="00A51EFA">
      <w:pPr>
        <w:numPr>
          <w:ilvl w:val="0"/>
          <w:numId w:val="23"/>
        </w:numPr>
        <w:spacing w:before="60" w:after="60"/>
        <w:rPr>
          <w:rFonts w:asciiTheme="minorHAnsi" w:eastAsia="Times New Roman" w:hAnsiTheme="minorHAnsi"/>
        </w:rPr>
      </w:pPr>
      <w:r w:rsidRPr="003416B7">
        <w:rPr>
          <w:rFonts w:asciiTheme="minorHAnsi" w:eastAsia="Times New Roman" w:hAnsiTheme="minorHAnsi"/>
        </w:rPr>
        <w:t xml:space="preserve">Therapists registered as a Level 1 Approved Prescriber may wish to prescribe more complex Level 2 equipment. The prescription must be endorsed by an Approved Prescriber of the appropriate level for that equipment. The prescribing therapist will be the point of contact if there is any additional information required.  </w:t>
      </w:r>
    </w:p>
    <w:p w14:paraId="56CD4FAF" w14:textId="77777777" w:rsidR="00A51EFA" w:rsidRPr="003416B7" w:rsidRDefault="00A51EFA" w:rsidP="00A51EFA">
      <w:pPr>
        <w:numPr>
          <w:ilvl w:val="0"/>
          <w:numId w:val="23"/>
        </w:numPr>
        <w:spacing w:before="60" w:after="60"/>
        <w:rPr>
          <w:rFonts w:asciiTheme="minorHAnsi" w:eastAsia="Times New Roman" w:hAnsiTheme="minorHAnsi"/>
        </w:rPr>
      </w:pPr>
      <w:r w:rsidRPr="003416B7">
        <w:rPr>
          <w:rFonts w:asciiTheme="minorHAnsi" w:eastAsia="Times New Roman" w:hAnsiTheme="minorHAnsi"/>
        </w:rPr>
        <w:t>To endorse a prescription the higher level Approved Prescriber will co-sign the prescription form to acknowledge that all necessary assessments and clinical considerations have been completed and that the prescription is appropriate to the client.</w:t>
      </w:r>
    </w:p>
    <w:p w14:paraId="1D76E00B" w14:textId="77777777" w:rsidR="00A51EFA" w:rsidRPr="003416B7" w:rsidRDefault="00A51EFA" w:rsidP="00A51EFA">
      <w:pPr>
        <w:numPr>
          <w:ilvl w:val="0"/>
          <w:numId w:val="23"/>
        </w:numPr>
        <w:spacing w:before="60" w:after="60"/>
        <w:rPr>
          <w:rFonts w:asciiTheme="minorHAnsi" w:eastAsia="Times New Roman" w:hAnsiTheme="minorHAnsi"/>
        </w:rPr>
      </w:pPr>
      <w:r w:rsidRPr="003416B7">
        <w:rPr>
          <w:rFonts w:asciiTheme="minorHAnsi" w:eastAsia="Times New Roman" w:hAnsiTheme="minorHAnsi"/>
        </w:rPr>
        <w:t>Level 2 Communication Aid and Device prescriptions will require an Approved Prescriber Speech Pathologist to co-sign as outlined at 4.2b.</w:t>
      </w:r>
    </w:p>
    <w:p w14:paraId="747DB5F3"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Professional Qualification Specific Approved Prescribers</w:t>
      </w:r>
    </w:p>
    <w:p w14:paraId="15BA0EB6" w14:textId="77777777" w:rsidR="00A51EFA" w:rsidRPr="003416B7" w:rsidRDefault="00A51EFA" w:rsidP="00A51EFA">
      <w:pPr>
        <w:numPr>
          <w:ilvl w:val="0"/>
          <w:numId w:val="24"/>
        </w:numPr>
        <w:spacing w:before="60" w:after="60"/>
        <w:rPr>
          <w:rFonts w:asciiTheme="minorHAnsi" w:eastAsia="Times New Roman" w:hAnsiTheme="minorHAnsi"/>
        </w:rPr>
      </w:pPr>
      <w:r w:rsidRPr="003416B7">
        <w:rPr>
          <w:rFonts w:asciiTheme="minorHAnsi" w:eastAsia="Times New Roman" w:hAnsiTheme="minorHAnsi"/>
        </w:rPr>
        <w:t>When completing the TEP Approved Prescriber Registration Form applicants nominate the equipment type and level at which they wish to prescribe. If applicants nominate an equipment type in which TEP Clinical Guidelines do not permit their professional qualification to prescribe, the applicant will be ineligible to prescribe in that equipment type.</w:t>
      </w:r>
    </w:p>
    <w:p w14:paraId="1DD31118" w14:textId="77777777" w:rsidR="00A51EFA" w:rsidRPr="003416B7" w:rsidRDefault="00A51EFA" w:rsidP="00A51EFA">
      <w:pPr>
        <w:numPr>
          <w:ilvl w:val="0"/>
          <w:numId w:val="24"/>
        </w:numPr>
        <w:spacing w:before="60" w:after="60"/>
        <w:rPr>
          <w:rFonts w:asciiTheme="minorHAnsi" w:eastAsia="Times New Roman" w:hAnsiTheme="minorHAnsi"/>
        </w:rPr>
      </w:pPr>
      <w:r w:rsidRPr="003416B7">
        <w:rPr>
          <w:rFonts w:asciiTheme="minorHAnsi" w:eastAsia="Times New Roman" w:hAnsiTheme="minorHAnsi"/>
        </w:rPr>
        <w:t xml:space="preserve">Regions that do not have access to health professionals representing several professional qualifications in a single location, may undertake education programs to train health professionals to prescribe equipment for clients. In this case prescribers may complete the TEP Prescription Form but it will need to be endorsed by an Approved Prescriber at the appropriate level for that equipment type. </w:t>
      </w:r>
    </w:p>
    <w:p w14:paraId="4543894E" w14:textId="77777777" w:rsidR="00A51EFA" w:rsidRPr="003416B7" w:rsidRDefault="00A51EFA" w:rsidP="00A51EFA">
      <w:pPr>
        <w:numPr>
          <w:ilvl w:val="0"/>
          <w:numId w:val="24"/>
        </w:numPr>
        <w:spacing w:before="60" w:after="60"/>
        <w:rPr>
          <w:rFonts w:asciiTheme="minorHAnsi" w:eastAsia="Times New Roman" w:hAnsiTheme="minorHAnsi"/>
        </w:rPr>
      </w:pPr>
      <w:r w:rsidRPr="003416B7">
        <w:rPr>
          <w:rFonts w:asciiTheme="minorHAnsi" w:eastAsia="Times New Roman" w:hAnsiTheme="minorHAnsi"/>
        </w:rPr>
        <w:t xml:space="preserve">Individuals without the stipulated qualifications, who have highly specialised skills in a particular clinical area, may apply to be an Approved Prescriber for a specific equipment type outside their professional qualification. The applicant must complete all sections of the Approved Prescriber Registration Form to provide written clinical evidence that they have completed a minimum </w:t>
      </w:r>
      <w:r w:rsidRPr="003416B7">
        <w:rPr>
          <w:rFonts w:asciiTheme="minorHAnsi" w:eastAsia="Times New Roman" w:hAnsiTheme="minorHAnsi"/>
        </w:rPr>
        <w:lastRenderedPageBreak/>
        <w:t xml:space="preserve">number of prescriptions for that equipment type, regardless of level. The applicant will be advised of the level and type of equipment they are approved to prescribe. </w:t>
      </w:r>
    </w:p>
    <w:p w14:paraId="4AF74908"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Inexperienced Prescribers Prescribing Under Supervision</w:t>
      </w:r>
    </w:p>
    <w:p w14:paraId="0BB98DA1" w14:textId="77777777" w:rsidR="00A51EFA" w:rsidRPr="003416B7" w:rsidRDefault="00A51EFA" w:rsidP="00A51EFA">
      <w:pPr>
        <w:numPr>
          <w:ilvl w:val="0"/>
          <w:numId w:val="25"/>
        </w:numPr>
        <w:spacing w:before="60" w:after="60"/>
        <w:rPr>
          <w:rFonts w:asciiTheme="minorHAnsi" w:eastAsia="Times New Roman" w:hAnsiTheme="minorHAnsi"/>
        </w:rPr>
      </w:pPr>
      <w:r w:rsidRPr="003416B7">
        <w:rPr>
          <w:rFonts w:asciiTheme="minorHAnsi" w:eastAsia="Times New Roman" w:hAnsiTheme="minorHAnsi"/>
        </w:rPr>
        <w:t xml:space="preserve">Prescribing therapists who do not meet the professional criteria, may prescribe under the supervision of a clinician who is an Approved Prescriber for the level of equipment being prescribed. The prescribing therapist will be the point of contact if there is any additional information required. </w:t>
      </w:r>
    </w:p>
    <w:p w14:paraId="687B052B" w14:textId="77777777" w:rsidR="00A51EFA" w:rsidRPr="003416B7" w:rsidRDefault="00A51EFA" w:rsidP="00A51EFA">
      <w:pPr>
        <w:numPr>
          <w:ilvl w:val="0"/>
          <w:numId w:val="25"/>
        </w:numPr>
        <w:spacing w:before="60" w:after="60"/>
        <w:rPr>
          <w:rFonts w:asciiTheme="minorHAnsi" w:eastAsia="Times New Roman" w:hAnsiTheme="minorHAnsi"/>
        </w:rPr>
      </w:pPr>
      <w:r w:rsidRPr="003416B7">
        <w:rPr>
          <w:rFonts w:asciiTheme="minorHAnsi" w:eastAsia="Times New Roman" w:hAnsiTheme="minorHAnsi"/>
        </w:rPr>
        <w:t>The format and level of supervision provided by the supervisor remains the responsibility of the clinical team to determine.  The TEP Prescription Form will need to be endorsed by an Approved Prescriber at the appropriate level for that type of equipment before it is submitted.</w:t>
      </w:r>
    </w:p>
    <w:p w14:paraId="52823EDA"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Therapist Awaiting Approved Prescriber Registration</w:t>
      </w:r>
    </w:p>
    <w:p w14:paraId="69B2112D" w14:textId="77777777" w:rsidR="00A51EFA" w:rsidRPr="003416B7" w:rsidRDefault="00A51EFA" w:rsidP="00A51EFA">
      <w:pPr>
        <w:numPr>
          <w:ilvl w:val="0"/>
          <w:numId w:val="26"/>
        </w:numPr>
        <w:spacing w:before="60" w:after="60"/>
        <w:rPr>
          <w:rFonts w:asciiTheme="minorHAnsi" w:eastAsia="Times New Roman" w:hAnsiTheme="minorHAnsi"/>
        </w:rPr>
      </w:pPr>
      <w:r w:rsidRPr="003416B7">
        <w:rPr>
          <w:rFonts w:asciiTheme="minorHAnsi" w:eastAsia="Times New Roman" w:hAnsiTheme="minorHAnsi"/>
        </w:rPr>
        <w:t>A prescriber awaiting the outcome of their registration application, such as therapists new to working in the Northern Territory or new graduates, may prescribe equipment appropriate to their professional qualification but will need their TEP Prescription Forms endorsed by an Approved Prescriber at the appropriate level for that type of equipment. The prescribing therapist will be the point of contact if there is any additional information required.</w:t>
      </w:r>
    </w:p>
    <w:p w14:paraId="6F49DF56"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 xml:space="preserve">Lack of Eligible Prescribers </w:t>
      </w:r>
    </w:p>
    <w:p w14:paraId="0009C6FB" w14:textId="77777777" w:rsidR="00A51EFA" w:rsidRPr="003416B7" w:rsidRDefault="00A51EFA" w:rsidP="00A51EFA">
      <w:pPr>
        <w:numPr>
          <w:ilvl w:val="0"/>
          <w:numId w:val="27"/>
        </w:numPr>
        <w:spacing w:before="60" w:after="60"/>
        <w:rPr>
          <w:rFonts w:asciiTheme="minorHAnsi" w:eastAsia="Times New Roman" w:hAnsiTheme="minorHAnsi"/>
        </w:rPr>
      </w:pPr>
      <w:r w:rsidRPr="003416B7">
        <w:rPr>
          <w:rFonts w:asciiTheme="minorHAnsi" w:eastAsia="Times New Roman" w:hAnsiTheme="minorHAnsi"/>
        </w:rPr>
        <w:t xml:space="preserve">In circumstances where a client’s access to equipment may be compromised due to a lack of Approved Prescribers (for example in rural or remote areas), prescribing therapists may prescribe under the supervision of a prescriber from another region who is an Approved Prescriber for that equipment. </w:t>
      </w:r>
    </w:p>
    <w:p w14:paraId="12232B7B" w14:textId="77777777" w:rsidR="00A51EFA" w:rsidRPr="003416B7" w:rsidRDefault="00A51EFA" w:rsidP="00A51EFA">
      <w:pPr>
        <w:numPr>
          <w:ilvl w:val="0"/>
          <w:numId w:val="27"/>
        </w:numPr>
        <w:spacing w:before="60" w:after="60"/>
        <w:rPr>
          <w:rFonts w:asciiTheme="minorHAnsi" w:eastAsia="Times New Roman" w:hAnsiTheme="minorHAnsi"/>
        </w:rPr>
      </w:pPr>
      <w:r w:rsidRPr="003416B7">
        <w:rPr>
          <w:rFonts w:asciiTheme="minorHAnsi" w:eastAsia="Times New Roman" w:hAnsiTheme="minorHAnsi"/>
        </w:rPr>
        <w:t>The prescription will need to be endorsed by an Approved Prescriber at the appropriate level for that equipment. The prescribing therapist will be the point of contact if there is any additional information required.</w:t>
      </w:r>
    </w:p>
    <w:p w14:paraId="6A47CC2C" w14:textId="77777777" w:rsidR="00A51EFA" w:rsidRPr="003416B7" w:rsidRDefault="00A51EFA" w:rsidP="00A51EFA">
      <w:pPr>
        <w:numPr>
          <w:ilvl w:val="1"/>
          <w:numId w:val="29"/>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 xml:space="preserve">Eligible Prescribers Employed by Equipment Suppliers </w:t>
      </w:r>
    </w:p>
    <w:p w14:paraId="5F70AE36" w14:textId="77777777" w:rsidR="00A51EFA" w:rsidRPr="003416B7" w:rsidRDefault="00A51EFA" w:rsidP="00A51EFA">
      <w:pPr>
        <w:numPr>
          <w:ilvl w:val="0"/>
          <w:numId w:val="28"/>
        </w:numPr>
        <w:spacing w:before="60" w:after="60"/>
        <w:rPr>
          <w:rFonts w:asciiTheme="minorHAnsi" w:eastAsia="Times New Roman" w:hAnsiTheme="minorHAnsi"/>
        </w:rPr>
      </w:pPr>
      <w:r w:rsidRPr="003416B7">
        <w:rPr>
          <w:rFonts w:asciiTheme="minorHAnsi" w:eastAsia="Times New Roman" w:hAnsiTheme="minorHAnsi"/>
        </w:rPr>
        <w:t>All prescribers must comply with the principle that the prescriber of equipment must be removed from the commercial supply of the equipment, in order to eliminate and prevent any perceived or actual conflict of interest. As with the example of medication prescription and supply where a doctor prescribes and a pharmacist dispenses (supplies).</w:t>
      </w:r>
    </w:p>
    <w:p w14:paraId="00D82969" w14:textId="77777777" w:rsidR="00A51EFA" w:rsidRPr="003416B7" w:rsidRDefault="00A51EFA" w:rsidP="00A51EFA">
      <w:pPr>
        <w:numPr>
          <w:ilvl w:val="0"/>
          <w:numId w:val="14"/>
        </w:numPr>
        <w:spacing w:before="240" w:after="120"/>
        <w:ind w:left="360"/>
        <w:outlineLvl w:val="1"/>
        <w:rPr>
          <w:rFonts w:asciiTheme="minorHAnsi" w:eastAsia="Times New Roman" w:hAnsiTheme="minorHAnsi"/>
          <w:b/>
          <w:color w:val="606060"/>
          <w:sz w:val="28"/>
          <w:szCs w:val="18"/>
          <w:lang w:eastAsia="en-AU"/>
        </w:rPr>
      </w:pPr>
      <w:r w:rsidRPr="003416B7">
        <w:rPr>
          <w:rFonts w:asciiTheme="minorHAnsi" w:eastAsia="Times New Roman" w:hAnsiTheme="minorHAnsi"/>
          <w:b/>
          <w:color w:val="606060"/>
          <w:sz w:val="28"/>
          <w:szCs w:val="18"/>
          <w:lang w:eastAsia="en-AU"/>
        </w:rPr>
        <w:t>Registration</w:t>
      </w:r>
    </w:p>
    <w:p w14:paraId="7FB941CF" w14:textId="77777777" w:rsidR="00A51EFA" w:rsidRPr="003416B7" w:rsidRDefault="00A51EFA" w:rsidP="00A51EFA">
      <w:pPr>
        <w:spacing w:before="120" w:after="120"/>
        <w:rPr>
          <w:rFonts w:asciiTheme="minorHAnsi" w:eastAsia="Times New Roman" w:hAnsiTheme="minorHAnsi"/>
          <w:b/>
          <w:sz w:val="24"/>
          <w:szCs w:val="24"/>
        </w:rPr>
      </w:pPr>
      <w:r w:rsidRPr="003416B7">
        <w:rPr>
          <w:rFonts w:asciiTheme="minorHAnsi" w:eastAsia="Times New Roman" w:hAnsiTheme="minorHAnsi"/>
        </w:rPr>
        <w:t>Registration of Approved Prescribers recognises prescribers’ advanced knowledge in equipment prescription, facilitates professional development of equipment prescription skills, and will create a central list for therapists in the Northern Territory to receive notification of equipment updates and educational opportunities.</w:t>
      </w:r>
    </w:p>
    <w:p w14:paraId="011EA9E6" w14:textId="77777777" w:rsidR="00A51EFA" w:rsidRPr="00152280" w:rsidRDefault="00A51EFA" w:rsidP="00A51EFA">
      <w:pPr>
        <w:pStyle w:val="ListParagraph"/>
        <w:numPr>
          <w:ilvl w:val="0"/>
          <w:numId w:val="30"/>
        </w:numPr>
        <w:spacing w:before="240"/>
        <w:outlineLvl w:val="2"/>
        <w:rPr>
          <w:rFonts w:asciiTheme="minorHAnsi" w:eastAsia="Times New Roman" w:hAnsiTheme="minorHAnsi"/>
          <w:b/>
          <w:iCs w:val="0"/>
          <w:vanish/>
          <w:sz w:val="24"/>
          <w:szCs w:val="24"/>
          <w:lang w:eastAsia="en-AU"/>
        </w:rPr>
      </w:pPr>
    </w:p>
    <w:p w14:paraId="106899C6" w14:textId="77777777" w:rsidR="00A51EFA" w:rsidRPr="00152280" w:rsidRDefault="00A51EFA" w:rsidP="00A51EFA">
      <w:pPr>
        <w:pStyle w:val="ListParagraph"/>
        <w:numPr>
          <w:ilvl w:val="0"/>
          <w:numId w:val="30"/>
        </w:numPr>
        <w:spacing w:before="240"/>
        <w:outlineLvl w:val="2"/>
        <w:rPr>
          <w:rFonts w:asciiTheme="minorHAnsi" w:eastAsia="Times New Roman" w:hAnsiTheme="minorHAnsi"/>
          <w:b/>
          <w:iCs w:val="0"/>
          <w:vanish/>
          <w:sz w:val="24"/>
          <w:szCs w:val="24"/>
          <w:lang w:eastAsia="en-AU"/>
        </w:rPr>
      </w:pPr>
    </w:p>
    <w:p w14:paraId="17E003C5" w14:textId="77777777" w:rsidR="00A51EFA" w:rsidRPr="00152280" w:rsidRDefault="00A51EFA" w:rsidP="00A51EFA">
      <w:pPr>
        <w:pStyle w:val="ListParagraph"/>
        <w:numPr>
          <w:ilvl w:val="0"/>
          <w:numId w:val="30"/>
        </w:numPr>
        <w:spacing w:before="240"/>
        <w:outlineLvl w:val="2"/>
        <w:rPr>
          <w:rFonts w:asciiTheme="minorHAnsi" w:eastAsia="Times New Roman" w:hAnsiTheme="minorHAnsi"/>
          <w:b/>
          <w:iCs w:val="0"/>
          <w:vanish/>
          <w:sz w:val="24"/>
          <w:szCs w:val="24"/>
          <w:lang w:eastAsia="en-AU"/>
        </w:rPr>
      </w:pPr>
    </w:p>
    <w:p w14:paraId="07FD5C72" w14:textId="77777777" w:rsidR="00A51EFA" w:rsidRPr="00152280" w:rsidRDefault="00A51EFA" w:rsidP="00A51EFA">
      <w:pPr>
        <w:pStyle w:val="ListParagraph"/>
        <w:numPr>
          <w:ilvl w:val="0"/>
          <w:numId w:val="30"/>
        </w:numPr>
        <w:spacing w:before="240"/>
        <w:outlineLvl w:val="2"/>
        <w:rPr>
          <w:rFonts w:asciiTheme="minorHAnsi" w:eastAsia="Times New Roman" w:hAnsiTheme="minorHAnsi"/>
          <w:b/>
          <w:iCs w:val="0"/>
          <w:vanish/>
          <w:sz w:val="24"/>
          <w:szCs w:val="24"/>
          <w:lang w:eastAsia="en-AU"/>
        </w:rPr>
      </w:pPr>
    </w:p>
    <w:p w14:paraId="1DD04244" w14:textId="77777777" w:rsidR="00A51EFA" w:rsidRPr="003416B7" w:rsidRDefault="00A51EFA" w:rsidP="00A51EFA">
      <w:pPr>
        <w:numPr>
          <w:ilvl w:val="1"/>
          <w:numId w:val="30"/>
        </w:numPr>
        <w:spacing w:before="240" w:after="1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ab/>
        <w:t>Initial Application for Registration</w:t>
      </w:r>
    </w:p>
    <w:p w14:paraId="598AF96A" w14:textId="77777777" w:rsidR="00A51EFA" w:rsidRPr="003416B7" w:rsidRDefault="00A51EFA" w:rsidP="00A51EFA">
      <w:pPr>
        <w:spacing w:before="120" w:after="120"/>
        <w:rPr>
          <w:rFonts w:asciiTheme="minorHAnsi" w:eastAsia="Times New Roman" w:hAnsiTheme="minorHAnsi"/>
        </w:rPr>
      </w:pPr>
      <w:r w:rsidRPr="003416B7">
        <w:rPr>
          <w:rFonts w:asciiTheme="minorHAnsi" w:eastAsia="Times New Roman" w:hAnsiTheme="minorHAnsi"/>
        </w:rPr>
        <w:t>Applicants are required to:</w:t>
      </w:r>
    </w:p>
    <w:p w14:paraId="438F3D5F" w14:textId="77777777" w:rsidR="00A51EFA" w:rsidRPr="003416B7" w:rsidRDefault="00A51EFA" w:rsidP="00A51EFA">
      <w:pPr>
        <w:numPr>
          <w:ilvl w:val="0"/>
          <w:numId w:val="31"/>
        </w:numPr>
        <w:spacing w:before="60" w:after="60"/>
        <w:rPr>
          <w:rFonts w:asciiTheme="minorHAnsi" w:eastAsia="Times New Roman" w:hAnsiTheme="minorHAnsi"/>
        </w:rPr>
      </w:pPr>
      <w:r w:rsidRPr="003416B7">
        <w:rPr>
          <w:rFonts w:asciiTheme="minorHAnsi" w:eastAsia="Times New Roman" w:hAnsiTheme="minorHAnsi"/>
        </w:rPr>
        <w:t>Complete the TEP AP-2 Application Form for Approved Prescriber Registration; and</w:t>
      </w:r>
    </w:p>
    <w:p w14:paraId="69325035" w14:textId="77777777" w:rsidR="00A51EFA" w:rsidRPr="003416B7" w:rsidRDefault="00A51EFA" w:rsidP="00A51EFA">
      <w:pPr>
        <w:numPr>
          <w:ilvl w:val="0"/>
          <w:numId w:val="31"/>
        </w:numPr>
        <w:spacing w:before="60" w:after="60"/>
        <w:rPr>
          <w:rFonts w:asciiTheme="minorHAnsi" w:eastAsia="Times New Roman" w:hAnsiTheme="minorHAnsi"/>
        </w:rPr>
      </w:pPr>
      <w:r w:rsidRPr="003416B7">
        <w:rPr>
          <w:rFonts w:asciiTheme="minorHAnsi" w:eastAsia="Times New Roman" w:hAnsiTheme="minorHAnsi"/>
        </w:rPr>
        <w:t xml:space="preserve">Provide evidence of relevant qualifications: </w:t>
      </w:r>
    </w:p>
    <w:p w14:paraId="4A3BF445" w14:textId="77777777" w:rsidR="00A51EFA" w:rsidRPr="003416B7" w:rsidRDefault="00A51EFA" w:rsidP="00A51EFA">
      <w:pPr>
        <w:numPr>
          <w:ilvl w:val="0"/>
          <w:numId w:val="32"/>
        </w:numPr>
        <w:spacing w:before="60" w:after="60"/>
        <w:rPr>
          <w:rFonts w:asciiTheme="minorHAnsi" w:eastAsia="Times New Roman" w:hAnsiTheme="minorHAnsi"/>
        </w:rPr>
      </w:pPr>
      <w:r w:rsidRPr="003416B7">
        <w:rPr>
          <w:rFonts w:asciiTheme="minorHAnsi" w:eastAsia="Times New Roman" w:hAnsiTheme="minorHAnsi"/>
        </w:rPr>
        <w:t>Copy of Registration Certificate with the relevant Professional Registration Board; or</w:t>
      </w:r>
    </w:p>
    <w:p w14:paraId="7916CDEF" w14:textId="77777777" w:rsidR="00A51EFA" w:rsidRPr="003416B7" w:rsidRDefault="00A51EFA" w:rsidP="00A51EFA">
      <w:pPr>
        <w:numPr>
          <w:ilvl w:val="0"/>
          <w:numId w:val="32"/>
        </w:numPr>
        <w:spacing w:before="60" w:after="60"/>
        <w:rPr>
          <w:rFonts w:asciiTheme="minorHAnsi" w:eastAsia="Times New Roman" w:hAnsiTheme="minorHAnsi"/>
        </w:rPr>
      </w:pPr>
      <w:r w:rsidRPr="003416B7">
        <w:rPr>
          <w:rFonts w:asciiTheme="minorHAnsi" w:eastAsia="Times New Roman" w:hAnsiTheme="minorHAnsi"/>
        </w:rPr>
        <w:t xml:space="preserve">For Speech Pathologists certified copies of: </w:t>
      </w:r>
    </w:p>
    <w:p w14:paraId="7AE745FA" w14:textId="77777777" w:rsidR="00A51EFA" w:rsidRPr="003416B7" w:rsidRDefault="00A51EFA" w:rsidP="00A51EFA">
      <w:pPr>
        <w:numPr>
          <w:ilvl w:val="0"/>
          <w:numId w:val="33"/>
        </w:numPr>
        <w:spacing w:before="60" w:after="60"/>
        <w:rPr>
          <w:rFonts w:asciiTheme="minorHAnsi" w:eastAsia="Times New Roman" w:hAnsiTheme="minorHAnsi"/>
        </w:rPr>
      </w:pPr>
      <w:r w:rsidRPr="003416B7">
        <w:rPr>
          <w:rFonts w:asciiTheme="minorHAnsi" w:eastAsia="Times New Roman" w:hAnsiTheme="minorHAnsi"/>
        </w:rPr>
        <w:t xml:space="preserve">proof of qualification (Graduation Certificate); and </w:t>
      </w:r>
    </w:p>
    <w:p w14:paraId="15748747" w14:textId="77777777" w:rsidR="00A51EFA" w:rsidRPr="003416B7" w:rsidRDefault="00A51EFA" w:rsidP="00A51EFA">
      <w:pPr>
        <w:numPr>
          <w:ilvl w:val="0"/>
          <w:numId w:val="33"/>
        </w:numPr>
        <w:spacing w:before="60" w:after="60"/>
        <w:rPr>
          <w:rFonts w:asciiTheme="minorHAnsi" w:eastAsia="Times New Roman" w:hAnsiTheme="minorHAnsi"/>
        </w:rPr>
      </w:pPr>
      <w:r w:rsidRPr="003416B7">
        <w:rPr>
          <w:rFonts w:asciiTheme="minorHAnsi" w:eastAsia="Times New Roman" w:hAnsiTheme="minorHAnsi"/>
        </w:rPr>
        <w:t>proof of name change, where relevant;</w:t>
      </w:r>
    </w:p>
    <w:p w14:paraId="32766139" w14:textId="77777777" w:rsidR="00A51EFA" w:rsidRPr="003416B7" w:rsidRDefault="00A51EFA" w:rsidP="00A51EFA">
      <w:pPr>
        <w:numPr>
          <w:ilvl w:val="0"/>
          <w:numId w:val="31"/>
        </w:numPr>
        <w:spacing w:before="60" w:after="60"/>
        <w:rPr>
          <w:rFonts w:asciiTheme="minorHAnsi" w:eastAsia="Times New Roman" w:hAnsiTheme="minorHAnsi"/>
        </w:rPr>
      </w:pPr>
      <w:r w:rsidRPr="003416B7">
        <w:rPr>
          <w:rFonts w:asciiTheme="minorHAnsi" w:eastAsia="Times New Roman" w:hAnsiTheme="minorHAnsi"/>
        </w:rPr>
        <w:lastRenderedPageBreak/>
        <w:t>For Level 2 (General and Seating) Approved Prescriber status:</w:t>
      </w:r>
    </w:p>
    <w:p w14:paraId="027C848E" w14:textId="77777777" w:rsidR="00A51EFA" w:rsidRPr="003416B7" w:rsidRDefault="00A51EFA" w:rsidP="00A51EFA">
      <w:pPr>
        <w:numPr>
          <w:ilvl w:val="0"/>
          <w:numId w:val="34"/>
        </w:numPr>
        <w:spacing w:before="60" w:after="60"/>
        <w:rPr>
          <w:rFonts w:asciiTheme="minorHAnsi" w:eastAsia="Times New Roman" w:hAnsiTheme="minorHAnsi"/>
        </w:rPr>
      </w:pPr>
      <w:r w:rsidRPr="003416B7">
        <w:rPr>
          <w:rFonts w:asciiTheme="minorHAnsi" w:eastAsia="Times New Roman" w:hAnsiTheme="minorHAnsi"/>
        </w:rPr>
        <w:t>Demonstrate relevant experience in the clinical field relevant to the nominated Equipment Type for which the applicant wishes Approved Prescriber status; and</w:t>
      </w:r>
    </w:p>
    <w:p w14:paraId="7DF5DB94" w14:textId="77777777" w:rsidR="00A51EFA" w:rsidRPr="003416B7" w:rsidRDefault="00A51EFA" w:rsidP="00A51EFA">
      <w:pPr>
        <w:numPr>
          <w:ilvl w:val="0"/>
          <w:numId w:val="34"/>
        </w:numPr>
        <w:spacing w:before="60" w:after="60"/>
        <w:rPr>
          <w:rFonts w:asciiTheme="minorHAnsi" w:eastAsia="Times New Roman" w:hAnsiTheme="minorHAnsi"/>
        </w:rPr>
      </w:pPr>
      <w:r w:rsidRPr="003416B7">
        <w:rPr>
          <w:rFonts w:asciiTheme="minorHAnsi" w:eastAsia="Times New Roman" w:hAnsiTheme="minorHAnsi"/>
        </w:rPr>
        <w:t>List two (2) referees who are prescribers/experienced therapists in the disciplines related to the nominated equipment prescription areas;</w:t>
      </w:r>
    </w:p>
    <w:p w14:paraId="5BF5AC1C" w14:textId="77777777" w:rsidR="00A51EFA" w:rsidRPr="003416B7" w:rsidRDefault="00A51EFA" w:rsidP="00A51EFA">
      <w:pPr>
        <w:numPr>
          <w:ilvl w:val="0"/>
          <w:numId w:val="31"/>
        </w:numPr>
        <w:spacing w:before="60" w:after="60"/>
        <w:rPr>
          <w:rFonts w:asciiTheme="minorHAnsi" w:eastAsia="Times New Roman" w:hAnsiTheme="minorHAnsi"/>
        </w:rPr>
      </w:pPr>
      <w:r w:rsidRPr="003416B7">
        <w:rPr>
          <w:rFonts w:asciiTheme="minorHAnsi" w:eastAsia="Times New Roman" w:hAnsiTheme="minorHAnsi"/>
        </w:rPr>
        <w:t>Send the completed Application Form for Approved Prescriber Registration and accompanying documentation to:</w:t>
      </w:r>
      <w:r w:rsidRPr="003416B7">
        <w:rPr>
          <w:rFonts w:asciiTheme="minorHAnsi" w:eastAsia="Times New Roman" w:hAnsiTheme="minorHAnsi"/>
        </w:rPr>
        <w:tab/>
      </w:r>
      <w:r w:rsidRPr="003416B7">
        <w:rPr>
          <w:rFonts w:asciiTheme="minorHAnsi" w:eastAsia="Times New Roman" w:hAnsiTheme="minorHAnsi"/>
        </w:rPr>
        <w:tab/>
      </w:r>
    </w:p>
    <w:p w14:paraId="7AD89BF0" w14:textId="77777777" w:rsidR="00A51EFA" w:rsidRPr="003416B7" w:rsidRDefault="00A51EFA" w:rsidP="00A51EFA">
      <w:pPr>
        <w:pBdr>
          <w:top w:val="single" w:sz="4" w:space="1" w:color="auto"/>
          <w:left w:val="single" w:sz="4" w:space="4" w:color="auto"/>
          <w:bottom w:val="single" w:sz="4" w:space="1" w:color="auto"/>
          <w:right w:val="single" w:sz="4" w:space="4" w:color="auto"/>
        </w:pBdr>
        <w:spacing w:after="0"/>
        <w:ind w:left="1440" w:hanging="236"/>
        <w:rPr>
          <w:rFonts w:asciiTheme="minorHAnsi" w:eastAsia="Times New Roman" w:hAnsiTheme="minorHAnsi"/>
        </w:rPr>
      </w:pPr>
      <w:r w:rsidRPr="003416B7">
        <w:rPr>
          <w:rFonts w:asciiTheme="minorHAnsi" w:eastAsia="Times New Roman" w:hAnsiTheme="minorHAnsi"/>
        </w:rPr>
        <w:t>Territory Equipment Program (TEP)</w:t>
      </w:r>
    </w:p>
    <w:p w14:paraId="62E34A5C" w14:textId="77777777" w:rsidR="00A51EFA" w:rsidRPr="003416B7" w:rsidRDefault="00A51EFA" w:rsidP="00A51EFA">
      <w:pPr>
        <w:pBdr>
          <w:top w:val="single" w:sz="4" w:space="1" w:color="auto"/>
          <w:left w:val="single" w:sz="4" w:space="4" w:color="auto"/>
          <w:bottom w:val="single" w:sz="4" w:space="1" w:color="auto"/>
          <w:right w:val="single" w:sz="4" w:space="4" w:color="auto"/>
        </w:pBdr>
        <w:spacing w:after="0"/>
        <w:ind w:left="1440" w:hanging="236"/>
        <w:rPr>
          <w:rFonts w:asciiTheme="minorHAnsi" w:eastAsia="Times New Roman" w:hAnsiTheme="minorHAnsi"/>
        </w:rPr>
      </w:pPr>
      <w:r w:rsidRPr="003416B7">
        <w:rPr>
          <w:rFonts w:asciiTheme="minorHAnsi" w:eastAsia="Times New Roman" w:hAnsiTheme="minorHAnsi"/>
        </w:rPr>
        <w:t>Approved Prescriber Registration</w:t>
      </w:r>
    </w:p>
    <w:p w14:paraId="44A89525" w14:textId="77777777" w:rsidR="00A51EFA" w:rsidRPr="003416B7" w:rsidRDefault="00A51EFA" w:rsidP="00A51EFA">
      <w:pPr>
        <w:pBdr>
          <w:top w:val="single" w:sz="4" w:space="1" w:color="auto"/>
          <w:left w:val="single" w:sz="4" w:space="4" w:color="auto"/>
          <w:bottom w:val="single" w:sz="4" w:space="1" w:color="auto"/>
          <w:right w:val="single" w:sz="4" w:space="4" w:color="auto"/>
        </w:pBdr>
        <w:spacing w:after="0"/>
        <w:ind w:left="1440" w:hanging="236"/>
        <w:rPr>
          <w:rFonts w:asciiTheme="minorHAnsi" w:eastAsia="Times New Roman" w:hAnsiTheme="minorHAnsi"/>
        </w:rPr>
      </w:pPr>
      <w:r w:rsidRPr="003416B7">
        <w:rPr>
          <w:rFonts w:asciiTheme="minorHAnsi" w:eastAsia="Times New Roman" w:hAnsiTheme="minorHAnsi"/>
        </w:rPr>
        <w:t>PO Box 40596</w:t>
      </w:r>
    </w:p>
    <w:p w14:paraId="126E9199" w14:textId="77777777" w:rsidR="00A51EFA" w:rsidRPr="003416B7" w:rsidRDefault="00A51EFA" w:rsidP="00A51EFA">
      <w:pPr>
        <w:pBdr>
          <w:top w:val="single" w:sz="4" w:space="1" w:color="auto"/>
          <w:left w:val="single" w:sz="4" w:space="4" w:color="auto"/>
          <w:bottom w:val="single" w:sz="4" w:space="1" w:color="auto"/>
          <w:right w:val="single" w:sz="4" w:space="4" w:color="auto"/>
        </w:pBdr>
        <w:spacing w:after="0"/>
        <w:ind w:left="1440" w:hanging="236"/>
        <w:rPr>
          <w:rFonts w:asciiTheme="minorHAnsi" w:eastAsia="Times New Roman" w:hAnsiTheme="minorHAnsi"/>
        </w:rPr>
      </w:pPr>
      <w:r w:rsidRPr="003416B7">
        <w:rPr>
          <w:rFonts w:asciiTheme="minorHAnsi" w:eastAsia="Times New Roman" w:hAnsiTheme="minorHAnsi"/>
        </w:rPr>
        <w:t>Casuarina NT 0811</w:t>
      </w:r>
    </w:p>
    <w:p w14:paraId="36D4564D" w14:textId="77777777" w:rsidR="00A51EFA" w:rsidRPr="003416B7" w:rsidRDefault="00A51EFA" w:rsidP="00A51EFA">
      <w:pPr>
        <w:pBdr>
          <w:top w:val="single" w:sz="4" w:space="1" w:color="auto"/>
          <w:left w:val="single" w:sz="4" w:space="4" w:color="auto"/>
          <w:bottom w:val="single" w:sz="4" w:space="1" w:color="auto"/>
          <w:right w:val="single" w:sz="4" w:space="4" w:color="auto"/>
        </w:pBdr>
        <w:spacing w:after="0"/>
        <w:ind w:left="1440" w:hanging="236"/>
        <w:rPr>
          <w:rFonts w:asciiTheme="minorHAnsi" w:eastAsia="Times New Roman" w:hAnsiTheme="minorHAnsi"/>
        </w:rPr>
      </w:pPr>
      <w:r w:rsidRPr="003416B7">
        <w:rPr>
          <w:rFonts w:asciiTheme="minorHAnsi" w:eastAsia="Times New Roman" w:hAnsiTheme="minorHAnsi"/>
        </w:rPr>
        <w:t>Or</w:t>
      </w:r>
    </w:p>
    <w:p w14:paraId="0AFF98E6" w14:textId="77777777" w:rsidR="00A51EFA" w:rsidRPr="003416B7" w:rsidRDefault="00B06DF1" w:rsidP="00A51EFA">
      <w:pPr>
        <w:pBdr>
          <w:top w:val="single" w:sz="4" w:space="1" w:color="auto"/>
          <w:left w:val="single" w:sz="4" w:space="4" w:color="auto"/>
          <w:bottom w:val="single" w:sz="4" w:space="1" w:color="auto"/>
          <w:right w:val="single" w:sz="4" w:space="4" w:color="auto"/>
        </w:pBdr>
        <w:spacing w:after="0"/>
        <w:ind w:left="1440" w:hanging="236"/>
        <w:rPr>
          <w:rFonts w:asciiTheme="minorHAnsi" w:eastAsia="Times New Roman" w:hAnsiTheme="minorHAnsi"/>
        </w:rPr>
      </w:pPr>
      <w:hyperlink r:id="rId9" w:history="1">
        <w:r w:rsidR="00A51EFA" w:rsidRPr="00152280">
          <w:rPr>
            <w:rFonts w:asciiTheme="minorHAnsi" w:eastAsia="Times New Roman" w:hAnsiTheme="minorHAnsi"/>
            <w:color w:val="0000FF"/>
            <w:u w:val="single"/>
          </w:rPr>
          <w:t>TopEndIntake.THS@nt.gov.au</w:t>
        </w:r>
      </w:hyperlink>
      <w:r w:rsidR="00A51EFA" w:rsidRPr="003416B7">
        <w:rPr>
          <w:rFonts w:asciiTheme="minorHAnsi" w:eastAsia="Times New Roman" w:hAnsiTheme="minorHAnsi"/>
        </w:rPr>
        <w:t xml:space="preserve"> </w:t>
      </w:r>
    </w:p>
    <w:p w14:paraId="0A9969A1" w14:textId="77777777" w:rsidR="00A51EFA" w:rsidRPr="003416B7" w:rsidRDefault="00A51EFA" w:rsidP="00A51EFA">
      <w:pPr>
        <w:numPr>
          <w:ilvl w:val="0"/>
          <w:numId w:val="35"/>
        </w:numPr>
        <w:spacing w:before="60" w:after="60"/>
        <w:rPr>
          <w:rFonts w:asciiTheme="minorHAnsi" w:eastAsia="Times New Roman" w:hAnsiTheme="minorHAnsi"/>
        </w:rPr>
      </w:pPr>
      <w:r w:rsidRPr="003416B7">
        <w:rPr>
          <w:rFonts w:asciiTheme="minorHAnsi" w:eastAsia="Times New Roman" w:hAnsiTheme="minorHAnsi"/>
        </w:rPr>
        <w:t>All applications will be reviewed by an independent panel of clinicians (TEP Advisory Committee) to determine prescriber eligibility. All applicants will receive notification of the outcome of their application in writing.</w:t>
      </w:r>
    </w:p>
    <w:p w14:paraId="3A75F033" w14:textId="77777777" w:rsidR="00A51EFA" w:rsidRPr="003416B7" w:rsidRDefault="00A51EFA" w:rsidP="00A51EFA">
      <w:pPr>
        <w:numPr>
          <w:ilvl w:val="1"/>
          <w:numId w:val="30"/>
        </w:numPr>
        <w:spacing w:before="240" w:after="120"/>
        <w:ind w:left="720" w:hanging="7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Renewal of Registration</w:t>
      </w:r>
    </w:p>
    <w:p w14:paraId="598C9C88" w14:textId="77777777" w:rsidR="00A51EFA" w:rsidRPr="003416B7" w:rsidRDefault="00A51EFA" w:rsidP="00A51EFA">
      <w:pPr>
        <w:numPr>
          <w:ilvl w:val="0"/>
          <w:numId w:val="36"/>
        </w:numPr>
        <w:spacing w:before="60" w:after="60"/>
        <w:rPr>
          <w:rFonts w:asciiTheme="minorHAnsi" w:eastAsia="Times New Roman" w:hAnsiTheme="minorHAnsi"/>
        </w:rPr>
      </w:pPr>
      <w:r w:rsidRPr="003416B7">
        <w:rPr>
          <w:rFonts w:asciiTheme="minorHAnsi" w:eastAsia="Times New Roman" w:hAnsiTheme="minorHAnsi"/>
        </w:rPr>
        <w:t>Once approved and registered as an Approved Prescriber renewal of registration is not required.</w:t>
      </w:r>
    </w:p>
    <w:p w14:paraId="025DFC9B" w14:textId="77777777" w:rsidR="00A51EFA" w:rsidRPr="003416B7" w:rsidRDefault="00A51EFA" w:rsidP="00A51EFA">
      <w:pPr>
        <w:numPr>
          <w:ilvl w:val="0"/>
          <w:numId w:val="36"/>
        </w:numPr>
        <w:spacing w:before="60" w:after="60"/>
        <w:rPr>
          <w:rFonts w:asciiTheme="minorHAnsi" w:eastAsia="Times New Roman" w:hAnsiTheme="minorHAnsi"/>
        </w:rPr>
      </w:pPr>
      <w:r w:rsidRPr="003416B7">
        <w:rPr>
          <w:rFonts w:asciiTheme="minorHAnsi" w:eastAsia="Times New Roman" w:hAnsiTheme="minorHAnsi"/>
        </w:rPr>
        <w:t>Annual registration with approved professional registration board will be checked to ensure therapists have up to date registration and continue to meet Professional Criteria for Prescribers.</w:t>
      </w:r>
    </w:p>
    <w:p w14:paraId="6AB068B3" w14:textId="77777777" w:rsidR="00A51EFA" w:rsidRPr="003416B7" w:rsidRDefault="00A51EFA" w:rsidP="00A51EFA">
      <w:pPr>
        <w:numPr>
          <w:ilvl w:val="0"/>
          <w:numId w:val="36"/>
        </w:numPr>
        <w:spacing w:before="60" w:after="60"/>
        <w:rPr>
          <w:rFonts w:asciiTheme="minorHAnsi" w:eastAsia="Times New Roman" w:hAnsiTheme="minorHAnsi"/>
        </w:rPr>
      </w:pPr>
      <w:r w:rsidRPr="003416B7">
        <w:rPr>
          <w:rFonts w:asciiTheme="minorHAnsi" w:eastAsia="Times New Roman" w:hAnsiTheme="minorHAnsi"/>
        </w:rPr>
        <w:t>Level 2 Approved Prescribers may be asked to demonstrate ongoing experience, professional development or training undertaken to maintain their skills at the level described in their registration application.</w:t>
      </w:r>
    </w:p>
    <w:p w14:paraId="0CAD832F" w14:textId="77777777" w:rsidR="00A51EFA" w:rsidRPr="003416B7" w:rsidRDefault="00A51EFA" w:rsidP="00A51EFA">
      <w:pPr>
        <w:numPr>
          <w:ilvl w:val="1"/>
          <w:numId w:val="30"/>
        </w:numPr>
        <w:spacing w:before="240" w:after="120"/>
        <w:ind w:left="720" w:hanging="7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Application for Change in Approved Prescriber Level</w:t>
      </w:r>
    </w:p>
    <w:p w14:paraId="778E589E" w14:textId="77777777" w:rsidR="00A51EFA" w:rsidRPr="003416B7" w:rsidRDefault="00A51EFA" w:rsidP="00A51EFA">
      <w:pPr>
        <w:numPr>
          <w:ilvl w:val="0"/>
          <w:numId w:val="37"/>
        </w:numPr>
        <w:spacing w:before="60" w:after="60"/>
        <w:rPr>
          <w:rFonts w:asciiTheme="minorHAnsi" w:eastAsia="Times New Roman" w:hAnsiTheme="minorHAnsi"/>
        </w:rPr>
      </w:pPr>
      <w:r w:rsidRPr="003416B7">
        <w:rPr>
          <w:rFonts w:asciiTheme="minorHAnsi" w:eastAsia="Times New Roman" w:hAnsiTheme="minorHAnsi"/>
        </w:rPr>
        <w:t xml:space="preserve">A Level 1 Approved Prescriber may wish to apply to become registered at a higher level (Level 2, General or Seating). The prescriber needs to have the appropriate level of clinical experience and must have completed a minimum number of prescriptions at the higher level. </w:t>
      </w:r>
    </w:p>
    <w:p w14:paraId="2AEAAE98" w14:textId="77777777" w:rsidR="00A51EFA" w:rsidRPr="003416B7" w:rsidRDefault="00A51EFA" w:rsidP="00A51EFA">
      <w:pPr>
        <w:numPr>
          <w:ilvl w:val="0"/>
          <w:numId w:val="37"/>
        </w:numPr>
        <w:spacing w:before="60" w:after="60"/>
        <w:rPr>
          <w:rFonts w:asciiTheme="minorHAnsi" w:eastAsia="Times New Roman" w:hAnsiTheme="minorHAnsi"/>
        </w:rPr>
      </w:pPr>
      <w:r w:rsidRPr="003416B7">
        <w:rPr>
          <w:rFonts w:asciiTheme="minorHAnsi" w:eastAsia="Times New Roman" w:hAnsiTheme="minorHAnsi"/>
        </w:rPr>
        <w:t xml:space="preserve">To become registered as an Approved Prescriber at a higher level (Level 2, General or Seating) registered Level 1 prescribers must re-apply by completing the TEP Approved Prescriber Registration Form. Applicants must complete all sections to be considered for Level 2 status. </w:t>
      </w:r>
    </w:p>
    <w:p w14:paraId="0838C72D" w14:textId="77777777" w:rsidR="00A51EFA" w:rsidRPr="003416B7" w:rsidRDefault="00A51EFA" w:rsidP="00A51EFA">
      <w:pPr>
        <w:numPr>
          <w:ilvl w:val="0"/>
          <w:numId w:val="37"/>
        </w:numPr>
        <w:spacing w:before="60" w:after="60"/>
        <w:rPr>
          <w:rFonts w:asciiTheme="minorHAnsi" w:eastAsia="Times New Roman" w:hAnsiTheme="minorHAnsi"/>
        </w:rPr>
      </w:pPr>
      <w:r w:rsidRPr="003416B7">
        <w:rPr>
          <w:rFonts w:asciiTheme="minorHAnsi" w:eastAsia="Times New Roman" w:hAnsiTheme="minorHAnsi"/>
        </w:rPr>
        <w:t>Applicants can apply for Level 2 Approved Prescriber status on their initial application.</w:t>
      </w:r>
    </w:p>
    <w:p w14:paraId="053DC78B" w14:textId="77777777" w:rsidR="00A51EFA" w:rsidRPr="003416B7" w:rsidRDefault="00A51EFA" w:rsidP="00A51EFA">
      <w:pPr>
        <w:numPr>
          <w:ilvl w:val="1"/>
          <w:numId w:val="30"/>
        </w:numPr>
        <w:spacing w:before="240" w:after="120"/>
        <w:ind w:left="720" w:hanging="720"/>
        <w:outlineLvl w:val="2"/>
        <w:rPr>
          <w:rFonts w:asciiTheme="minorHAnsi" w:eastAsia="Times New Roman" w:hAnsiTheme="minorHAnsi"/>
          <w:b/>
          <w:sz w:val="24"/>
          <w:szCs w:val="24"/>
          <w:lang w:eastAsia="en-AU"/>
        </w:rPr>
      </w:pPr>
      <w:r w:rsidRPr="003416B7">
        <w:rPr>
          <w:rFonts w:asciiTheme="minorHAnsi" w:eastAsia="Times New Roman" w:hAnsiTheme="minorHAnsi"/>
          <w:b/>
          <w:sz w:val="24"/>
          <w:szCs w:val="24"/>
          <w:lang w:eastAsia="en-AU"/>
        </w:rPr>
        <w:t>Appeal Process</w:t>
      </w:r>
    </w:p>
    <w:p w14:paraId="2E1CC9D5" w14:textId="77777777" w:rsidR="00A51EFA" w:rsidRPr="003416B7" w:rsidRDefault="00A51EFA" w:rsidP="00A51EFA">
      <w:pPr>
        <w:numPr>
          <w:ilvl w:val="0"/>
          <w:numId w:val="38"/>
        </w:numPr>
        <w:spacing w:before="60" w:after="60"/>
        <w:rPr>
          <w:rFonts w:asciiTheme="minorHAnsi" w:eastAsia="Times New Roman" w:hAnsiTheme="minorHAnsi"/>
        </w:rPr>
      </w:pPr>
      <w:r w:rsidRPr="003416B7">
        <w:rPr>
          <w:rFonts w:asciiTheme="minorHAnsi" w:eastAsia="Times New Roman" w:hAnsiTheme="minorHAnsi"/>
        </w:rPr>
        <w:t xml:space="preserve">Applicants may appeal the decision made by the Advisory Committee.  This must be submitted in writing and will require the applicant to provide additional supportive information. </w:t>
      </w:r>
    </w:p>
    <w:p w14:paraId="2177BBE9" w14:textId="2F84C928" w:rsidR="00A51EFA" w:rsidRDefault="00A51EFA" w:rsidP="00A51EFA">
      <w:pPr>
        <w:numPr>
          <w:ilvl w:val="0"/>
          <w:numId w:val="38"/>
        </w:numPr>
        <w:spacing w:before="60" w:after="60"/>
        <w:rPr>
          <w:rFonts w:asciiTheme="minorHAnsi" w:eastAsia="Times New Roman" w:hAnsiTheme="minorHAnsi"/>
        </w:rPr>
      </w:pPr>
      <w:r w:rsidRPr="003416B7">
        <w:rPr>
          <w:rFonts w:asciiTheme="minorHAnsi" w:eastAsia="Times New Roman" w:hAnsiTheme="minorHAnsi"/>
        </w:rPr>
        <w:t>The appeal will be reviewed by the Advisory Committee with the aim to objectively review the application and issue of concern.  Appeal outcomes to the appellant’s dissatisfaction may be referred to the Community Allied Health Senior Manager</w:t>
      </w:r>
    </w:p>
    <w:p w14:paraId="1425C15A" w14:textId="77777777" w:rsidR="00892DCF" w:rsidRPr="003416B7" w:rsidRDefault="00892DCF" w:rsidP="00892DCF">
      <w:pPr>
        <w:spacing w:before="60" w:after="60"/>
        <w:ind w:left="720"/>
        <w:rPr>
          <w:rFonts w:asciiTheme="minorHAnsi" w:eastAsia="Times New Roman" w:hAnsiTheme="minorHAnsi"/>
        </w:rPr>
      </w:pPr>
    </w:p>
    <w:p w14:paraId="3E6CA9BA" w14:textId="77777777" w:rsidR="00A51EFA" w:rsidRPr="003A55C2" w:rsidRDefault="00A51EFA" w:rsidP="00A51EFA"/>
    <w:tbl>
      <w:tblPr>
        <w:tblStyle w:val="NTGtable1"/>
        <w:tblW w:w="10343" w:type="dxa"/>
        <w:tblInd w:w="0" w:type="dxa"/>
        <w:tblLook w:val="0120" w:firstRow="1" w:lastRow="0" w:firstColumn="0" w:lastColumn="1" w:noHBand="0" w:noVBand="0"/>
      </w:tblPr>
      <w:tblGrid>
        <w:gridCol w:w="3397"/>
        <w:gridCol w:w="3402"/>
        <w:gridCol w:w="3509"/>
        <w:gridCol w:w="35"/>
      </w:tblGrid>
      <w:tr w:rsidR="00A51EFA" w14:paraId="567C3EF0" w14:textId="77777777" w:rsidTr="00F05DE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69B817F7" w14:textId="77777777" w:rsidR="00A51EFA" w:rsidRPr="001154BA" w:rsidRDefault="00A51EFA" w:rsidP="00F05DE6">
            <w:pPr>
              <w:jc w:val="center"/>
            </w:pPr>
            <w:r w:rsidRPr="001154BA">
              <w:rPr>
                <w:w w:val="105"/>
              </w:rPr>
              <w:t>Quality Assurance</w:t>
            </w:r>
          </w:p>
        </w:tc>
      </w:tr>
      <w:tr w:rsidR="00A51EFA" w14:paraId="752E7DFF"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77875FB7" w14:textId="77777777" w:rsidR="00A51EFA" w:rsidRPr="001154BA" w:rsidRDefault="00A51EFA" w:rsidP="00F05DE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F6FEA37" w14:textId="77777777" w:rsidR="00A51EFA" w:rsidRPr="001154BA" w:rsidRDefault="00A51EFA" w:rsidP="00F05DE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37907D7" w14:textId="77777777" w:rsidR="00A51EFA" w:rsidRPr="001154BA" w:rsidRDefault="00A51EFA" w:rsidP="00F05DE6">
            <w:pPr>
              <w:rPr>
                <w:b/>
              </w:rPr>
            </w:pPr>
            <w:r w:rsidRPr="001154BA">
              <w:rPr>
                <w:b/>
              </w:rPr>
              <w:t>Responsibility</w:t>
            </w:r>
          </w:p>
        </w:tc>
      </w:tr>
      <w:tr w:rsidR="00A51EFA" w14:paraId="1092C4C4"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13A49700" w14:textId="77777777" w:rsidR="00A51EFA" w:rsidRPr="001154BA" w:rsidRDefault="00A51EFA" w:rsidP="00F05DE6">
            <w:pPr>
              <w:rPr>
                <w:b/>
              </w:rPr>
            </w:pPr>
            <w:r w:rsidRPr="001154BA">
              <w:rPr>
                <w:b/>
              </w:rPr>
              <w:lastRenderedPageBreak/>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2C419C1D" w14:textId="77777777" w:rsidR="00A51EFA" w:rsidRPr="00D55876" w:rsidRDefault="00A51EFA" w:rsidP="00F05DE6">
            <w:r w:rsidRPr="00D55876">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6C0ED874" w14:textId="77777777" w:rsidR="00A51EFA" w:rsidRDefault="00A51EFA" w:rsidP="00F05DE6">
            <w:r w:rsidRPr="00986B7D">
              <w:rPr>
                <w:color w:val="000000"/>
                <w:sz w:val="20"/>
              </w:rPr>
              <w:t>PGC Administrators</w:t>
            </w:r>
          </w:p>
        </w:tc>
      </w:tr>
      <w:tr w:rsidR="00A51EFA" w14:paraId="036BFE7A"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699358F6" w14:textId="77777777" w:rsidR="00A51EFA" w:rsidRPr="001154BA" w:rsidRDefault="00A51EFA" w:rsidP="00F05DE6">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54C8B354" w14:textId="1F963775" w:rsidR="00A51EFA" w:rsidRPr="00D55876" w:rsidRDefault="00A51EFA" w:rsidP="00D55876">
            <w:r w:rsidRPr="00D55876">
              <w:t xml:space="preserve">Document will be reviewed within </w:t>
            </w:r>
            <w:r w:rsidR="00D55876" w:rsidRPr="00D55876">
              <w:t>5 years</w:t>
            </w:r>
            <w:r w:rsidRPr="00D55876">
              <w:t xml:space="preserve"> or 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32946ED0" w14:textId="77777777" w:rsidR="00A51EFA" w:rsidRDefault="00A51EFA" w:rsidP="00F05DE6"/>
        </w:tc>
      </w:tr>
      <w:tr w:rsidR="00A51EFA" w14:paraId="35C57CFE"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610E4AC9" w14:textId="77777777" w:rsidR="00A51EFA" w:rsidRPr="001154BA" w:rsidRDefault="00A51EFA" w:rsidP="00F05DE6">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7C57F142" w14:textId="77777777" w:rsidR="00A51EFA" w:rsidRPr="00D55876" w:rsidRDefault="00A51EFA" w:rsidP="00F05DE6">
            <w:r w:rsidRPr="00D55876">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54CF74ED" w14:textId="77777777" w:rsidR="00A51EFA" w:rsidRDefault="00A51EFA" w:rsidP="00F05DE6"/>
        </w:tc>
      </w:tr>
      <w:tr w:rsidR="00A51EFA" w14:paraId="7E664D26"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7458EE64" w14:textId="77777777" w:rsidR="00A51EFA" w:rsidRPr="001154BA" w:rsidRDefault="00A51EFA" w:rsidP="00F05DE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2BE7588" w14:textId="77777777" w:rsidR="00A51EFA" w:rsidRPr="001154BA" w:rsidRDefault="00A51EFA" w:rsidP="00F05DE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2FAF97FB" w14:textId="77777777" w:rsidR="00A51EFA" w:rsidRPr="00986B7D" w:rsidRDefault="00A51EFA" w:rsidP="00F05DE6">
            <w:pPr>
              <w:rPr>
                <w:color w:val="000000"/>
                <w:sz w:val="20"/>
              </w:rPr>
            </w:pPr>
          </w:p>
        </w:tc>
      </w:tr>
    </w:tbl>
    <w:p w14:paraId="35AAAA42" w14:textId="77777777" w:rsidR="00A51EFA" w:rsidRDefault="00A51EFA" w:rsidP="00A51EFA">
      <w:pPr>
        <w:spacing w:after="0"/>
        <w:rPr>
          <w:lang w:eastAsia="en-AU"/>
        </w:rPr>
      </w:pPr>
    </w:p>
    <w:tbl>
      <w:tblPr>
        <w:tblStyle w:val="NTGtable1"/>
        <w:tblW w:w="10308" w:type="dxa"/>
        <w:tblInd w:w="0" w:type="dxa"/>
        <w:tblLook w:val="0120" w:firstRow="1" w:lastRow="0" w:firstColumn="0" w:lastColumn="1" w:noHBand="0" w:noVBand="0"/>
      </w:tblPr>
      <w:tblGrid>
        <w:gridCol w:w="1976"/>
        <w:gridCol w:w="8332"/>
      </w:tblGrid>
      <w:tr w:rsidR="00A51EFA" w14:paraId="4AD60868" w14:textId="77777777" w:rsidTr="00F05DE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6F527EC4" w14:textId="77777777" w:rsidR="00A51EFA" w:rsidRDefault="00A51EFA" w:rsidP="00F05DE6">
            <w:pPr>
              <w:jc w:val="center"/>
            </w:pPr>
            <w:r>
              <w:rPr>
                <w:w w:val="105"/>
              </w:rPr>
              <w:t>Key Associated Documents</w:t>
            </w:r>
          </w:p>
        </w:tc>
      </w:tr>
      <w:tr w:rsidR="00A51EFA" w14:paraId="7E101CE0"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vAlign w:val="top"/>
            <w:hideMark/>
          </w:tcPr>
          <w:p w14:paraId="100D6A81" w14:textId="77777777" w:rsidR="00A51EFA" w:rsidRPr="001154BA" w:rsidRDefault="00A51EFA" w:rsidP="00F05DE6">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vAlign w:val="top"/>
            <w:hideMark/>
          </w:tcPr>
          <w:p w14:paraId="6DBB9FD7" w14:textId="77777777" w:rsidR="00A51EFA" w:rsidRPr="00535B23" w:rsidRDefault="00A51EFA" w:rsidP="00F05DE6">
            <w:pPr>
              <w:tabs>
                <w:tab w:val="right" w:pos="9240"/>
              </w:tabs>
              <w:ind w:right="3"/>
            </w:pPr>
            <w:r>
              <w:t>TEP</w:t>
            </w:r>
            <w:r w:rsidRPr="00535B23">
              <w:t xml:space="preserve"> Clinical Guidelines</w:t>
            </w:r>
          </w:p>
          <w:p w14:paraId="51EFF829" w14:textId="77777777" w:rsidR="00A51EFA" w:rsidRPr="003416B7" w:rsidRDefault="00A51EFA" w:rsidP="00F05DE6">
            <w:pPr>
              <w:rPr>
                <w:b/>
              </w:rPr>
            </w:pPr>
            <w:r>
              <w:t>TEP</w:t>
            </w:r>
            <w:r w:rsidRPr="00535B23">
              <w:t xml:space="preserve"> Policy and Procedure Manual</w:t>
            </w:r>
          </w:p>
        </w:tc>
      </w:tr>
      <w:tr w:rsidR="00A51EFA" w14:paraId="559B6FD3"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4B30B15D" w14:textId="77777777" w:rsidR="00A51EFA" w:rsidRDefault="00A51EFA" w:rsidP="00F05DE6">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vAlign w:val="top"/>
          </w:tcPr>
          <w:p w14:paraId="26111D85" w14:textId="77777777" w:rsidR="00A51EFA" w:rsidRPr="003416B7" w:rsidRDefault="00A51EFA" w:rsidP="00F05DE6">
            <w:pPr>
              <w:rPr>
                <w:rFonts w:eastAsia="Times New Roman"/>
              </w:rPr>
            </w:pPr>
            <w:proofErr w:type="spellStart"/>
            <w:r w:rsidRPr="003416B7">
              <w:rPr>
                <w:rFonts w:eastAsia="Times New Roman"/>
              </w:rPr>
              <w:t>EnableNSW</w:t>
            </w:r>
            <w:proofErr w:type="spellEnd"/>
            <w:r w:rsidRPr="003416B7">
              <w:rPr>
                <w:rFonts w:eastAsia="Times New Roman"/>
              </w:rPr>
              <w:t xml:space="preserve"> – New South Wales</w:t>
            </w:r>
            <w:r>
              <w:rPr>
                <w:rFonts w:eastAsia="Times New Roman"/>
              </w:rPr>
              <w:t xml:space="preserve">: </w:t>
            </w:r>
          </w:p>
          <w:p w14:paraId="79A63DE5" w14:textId="77777777" w:rsidR="00A51EFA" w:rsidRPr="003416B7" w:rsidRDefault="00B06DF1" w:rsidP="00F05DE6">
            <w:pPr>
              <w:rPr>
                <w:rFonts w:eastAsia="Times New Roman"/>
              </w:rPr>
            </w:pPr>
            <w:hyperlink r:id="rId10" w:history="1">
              <w:r w:rsidR="00A51EFA" w:rsidRPr="003416B7">
                <w:rPr>
                  <w:rFonts w:eastAsia="Times New Roman"/>
                  <w:color w:val="0000FF"/>
                  <w:u w:val="single"/>
                </w:rPr>
                <w:t>www.enable.health.nsw.gov.au</w:t>
              </w:r>
            </w:hyperlink>
          </w:p>
          <w:p w14:paraId="79A17E70" w14:textId="77777777" w:rsidR="00A51EFA" w:rsidRPr="003416B7" w:rsidRDefault="00A51EFA" w:rsidP="00F05DE6">
            <w:pPr>
              <w:rPr>
                <w:rFonts w:eastAsia="Times New Roman"/>
              </w:rPr>
            </w:pPr>
            <w:r w:rsidRPr="003416B7">
              <w:rPr>
                <w:rFonts w:eastAsia="Times New Roman"/>
              </w:rPr>
              <w:t xml:space="preserve">State-Wide Equipment Program (SWEP) – Victoria  </w:t>
            </w:r>
          </w:p>
          <w:p w14:paraId="437C7F74" w14:textId="77777777" w:rsidR="00A51EFA" w:rsidRPr="003416B7" w:rsidRDefault="00B06DF1" w:rsidP="00F05DE6">
            <w:pPr>
              <w:rPr>
                <w:rFonts w:eastAsia="Times New Roman"/>
              </w:rPr>
            </w:pPr>
            <w:hyperlink r:id="rId11" w:history="1">
              <w:r w:rsidR="00A51EFA" w:rsidRPr="003416B7">
                <w:rPr>
                  <w:rFonts w:eastAsia="Times New Roman"/>
                  <w:color w:val="0000FF"/>
                  <w:u w:val="single"/>
                </w:rPr>
                <w:t>www.swep.bhs.org.au</w:t>
              </w:r>
            </w:hyperlink>
          </w:p>
          <w:p w14:paraId="1A326D38" w14:textId="77777777" w:rsidR="00A51EFA" w:rsidRPr="003416B7" w:rsidRDefault="00A51EFA" w:rsidP="00F05DE6">
            <w:pPr>
              <w:rPr>
                <w:rFonts w:eastAsia="Times New Roman"/>
              </w:rPr>
            </w:pPr>
            <w:r w:rsidRPr="003416B7">
              <w:rPr>
                <w:rFonts w:eastAsia="Times New Roman"/>
              </w:rPr>
              <w:t xml:space="preserve">ACT Equipment Scheme ACTES – Australian Capital Territory  </w:t>
            </w:r>
          </w:p>
          <w:p w14:paraId="1B94BC49" w14:textId="77777777" w:rsidR="00A51EFA" w:rsidRPr="003416B7" w:rsidRDefault="00B06DF1" w:rsidP="00F05DE6">
            <w:pPr>
              <w:rPr>
                <w:rFonts w:eastAsia="Times New Roman"/>
              </w:rPr>
            </w:pPr>
            <w:hyperlink r:id="rId12" w:history="1">
              <w:r w:rsidR="00A51EFA" w:rsidRPr="003416B7">
                <w:rPr>
                  <w:rFonts w:eastAsia="Times New Roman"/>
                  <w:color w:val="0000FF"/>
                  <w:u w:val="single"/>
                </w:rPr>
                <w:t>www.health.act.gov.au</w:t>
              </w:r>
            </w:hyperlink>
          </w:p>
          <w:p w14:paraId="3408062D" w14:textId="77777777" w:rsidR="00A51EFA" w:rsidRPr="003416B7" w:rsidRDefault="00A51EFA" w:rsidP="00F05DE6">
            <w:pPr>
              <w:rPr>
                <w:rFonts w:eastAsia="Times New Roman"/>
              </w:rPr>
            </w:pPr>
            <w:r w:rsidRPr="003416B7">
              <w:rPr>
                <w:rFonts w:eastAsia="Times New Roman"/>
              </w:rPr>
              <w:t xml:space="preserve">Community Aids and Equipment Program CAEP – Western Australia </w:t>
            </w:r>
          </w:p>
          <w:p w14:paraId="32E1B507" w14:textId="77777777" w:rsidR="00A51EFA" w:rsidRPr="003416B7" w:rsidRDefault="00B06DF1" w:rsidP="00F05DE6">
            <w:pPr>
              <w:rPr>
                <w:rFonts w:eastAsia="Times New Roman"/>
                <w:color w:val="0E774A"/>
              </w:rPr>
            </w:pPr>
            <w:hyperlink r:id="rId13" w:history="1">
              <w:r w:rsidR="00A51EFA" w:rsidRPr="003416B7">
                <w:rPr>
                  <w:rFonts w:eastAsia="Times New Roman"/>
                  <w:color w:val="0000FF"/>
                  <w:u w:val="single"/>
                </w:rPr>
                <w:t>www.disability.</w:t>
              </w:r>
              <w:r w:rsidR="00A51EFA" w:rsidRPr="003416B7">
                <w:rPr>
                  <w:rFonts w:eastAsia="Times New Roman"/>
                  <w:bCs/>
                  <w:color w:val="0000FF"/>
                  <w:u w:val="single"/>
                </w:rPr>
                <w:t>wa</w:t>
              </w:r>
              <w:r w:rsidR="00A51EFA" w:rsidRPr="003416B7">
                <w:rPr>
                  <w:rFonts w:eastAsia="Times New Roman"/>
                  <w:color w:val="0000FF"/>
                  <w:u w:val="single"/>
                </w:rPr>
                <w:t>.gov.au</w:t>
              </w:r>
            </w:hyperlink>
          </w:p>
          <w:p w14:paraId="17EAAEBA" w14:textId="77777777" w:rsidR="00A51EFA" w:rsidRPr="003416B7" w:rsidRDefault="00A51EFA" w:rsidP="00F05DE6">
            <w:pPr>
              <w:rPr>
                <w:rFonts w:eastAsia="Times New Roman"/>
              </w:rPr>
            </w:pPr>
            <w:r w:rsidRPr="003416B7">
              <w:rPr>
                <w:rFonts w:eastAsia="Times New Roman"/>
              </w:rPr>
              <w:t xml:space="preserve">Community Equipment Scheme CES – Tasmania </w:t>
            </w:r>
          </w:p>
          <w:p w14:paraId="213DDF9A" w14:textId="77777777" w:rsidR="00A51EFA" w:rsidRPr="003416B7" w:rsidRDefault="00B06DF1" w:rsidP="00F05DE6">
            <w:pPr>
              <w:rPr>
                <w:rFonts w:eastAsia="Times New Roman"/>
              </w:rPr>
            </w:pPr>
            <w:hyperlink r:id="rId14" w:history="1">
              <w:r w:rsidR="00A51EFA" w:rsidRPr="003416B7">
                <w:rPr>
                  <w:rFonts w:eastAsia="Times New Roman"/>
                  <w:color w:val="0000FF"/>
                  <w:u w:val="single"/>
                </w:rPr>
                <w:t>www.concessions.tas.gov.au</w:t>
              </w:r>
            </w:hyperlink>
          </w:p>
          <w:p w14:paraId="5DB7DC1A" w14:textId="77777777" w:rsidR="00A51EFA" w:rsidRPr="003416B7" w:rsidRDefault="00A51EFA" w:rsidP="00F05DE6">
            <w:pPr>
              <w:rPr>
                <w:rFonts w:eastAsia="Times New Roman"/>
              </w:rPr>
            </w:pPr>
            <w:r w:rsidRPr="003416B7">
              <w:rPr>
                <w:rFonts w:eastAsia="Times New Roman"/>
              </w:rPr>
              <w:t xml:space="preserve">Department for Community and Social Inclusion (DCSI) Equipment Scheme – South Australia </w:t>
            </w:r>
          </w:p>
          <w:p w14:paraId="7183C462" w14:textId="77777777" w:rsidR="00A51EFA" w:rsidRPr="003416B7" w:rsidRDefault="00B06DF1" w:rsidP="00F05DE6">
            <w:pPr>
              <w:rPr>
                <w:rFonts w:eastAsia="Times New Roman"/>
              </w:rPr>
            </w:pPr>
            <w:hyperlink r:id="rId15" w:history="1">
              <w:r w:rsidR="00A51EFA" w:rsidRPr="003416B7">
                <w:rPr>
                  <w:rFonts w:eastAsia="Times New Roman"/>
                  <w:color w:val="0000FF"/>
                  <w:u w:val="single"/>
                </w:rPr>
                <w:t>www.sa.gov.au</w:t>
              </w:r>
            </w:hyperlink>
          </w:p>
          <w:p w14:paraId="6711D5DD" w14:textId="77777777" w:rsidR="00A51EFA" w:rsidRPr="003416B7" w:rsidRDefault="00A51EFA" w:rsidP="00F05DE6">
            <w:pPr>
              <w:rPr>
                <w:rFonts w:eastAsia="Times New Roman"/>
              </w:rPr>
            </w:pPr>
            <w:r w:rsidRPr="003416B7">
              <w:rPr>
                <w:rFonts w:eastAsia="Times New Roman"/>
              </w:rPr>
              <w:t>Medical Aids Subsidy Scheme (MASS) – Queensland</w:t>
            </w:r>
            <w:r w:rsidRPr="003416B7">
              <w:rPr>
                <w:rFonts w:eastAsia="Times New Roman"/>
              </w:rPr>
              <w:tab/>
            </w:r>
          </w:p>
          <w:p w14:paraId="32467FA3" w14:textId="77777777" w:rsidR="00A51EFA" w:rsidRDefault="00B06DF1" w:rsidP="00F05DE6">
            <w:hyperlink r:id="rId16" w:history="1">
              <w:r w:rsidR="00A51EFA" w:rsidRPr="003416B7">
                <w:rPr>
                  <w:rFonts w:eastAsia="Times New Roman"/>
                  <w:color w:val="0000FF"/>
                  <w:u w:val="single"/>
                </w:rPr>
                <w:t>www.health.qld.gov.au/mass</w:t>
              </w:r>
            </w:hyperlink>
          </w:p>
        </w:tc>
      </w:tr>
    </w:tbl>
    <w:p w14:paraId="471DC2CD" w14:textId="77777777" w:rsidR="00A51EFA" w:rsidRDefault="00A51EFA" w:rsidP="00A51EFA">
      <w:pPr>
        <w:spacing w:after="0"/>
        <w:rPr>
          <w:lang w:eastAsia="en-AU"/>
        </w:rPr>
      </w:pPr>
    </w:p>
    <w:tbl>
      <w:tblPr>
        <w:tblStyle w:val="NTGtable1"/>
        <w:tblW w:w="10308" w:type="dxa"/>
        <w:tblInd w:w="0" w:type="dxa"/>
        <w:tblLook w:val="0120" w:firstRow="1" w:lastRow="0" w:firstColumn="0" w:lastColumn="1" w:noHBand="0" w:noVBand="0"/>
      </w:tblPr>
      <w:tblGrid>
        <w:gridCol w:w="1976"/>
        <w:gridCol w:w="8332"/>
      </w:tblGrid>
      <w:tr w:rsidR="00A51EFA" w:rsidRPr="001154BA" w14:paraId="7C8F5D7C" w14:textId="77777777" w:rsidTr="00F05DE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5BC70172" w14:textId="77777777" w:rsidR="00A51EFA" w:rsidRPr="001154BA" w:rsidRDefault="00A51EFA" w:rsidP="00F05DE6">
            <w:pPr>
              <w:jc w:val="center"/>
            </w:pPr>
            <w:r w:rsidRPr="001154BA">
              <w:rPr>
                <w:w w:val="105"/>
              </w:rPr>
              <w:t>Definitions, Acronyms and Alternative Search Terms</w:t>
            </w:r>
          </w:p>
        </w:tc>
      </w:tr>
      <w:tr w:rsidR="00A51EFA" w:rsidRPr="001154BA" w14:paraId="14AF8F82"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23024D8B" w14:textId="77777777" w:rsidR="00A51EFA" w:rsidRPr="001154BA" w:rsidRDefault="00A51EFA" w:rsidP="00F05DE6">
            <w:r w:rsidRPr="001154BA">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2A658BC3" w14:textId="77777777" w:rsidR="00A51EFA" w:rsidRPr="001154BA" w:rsidRDefault="00A51EFA" w:rsidP="00F05DE6">
            <w:r w:rsidRPr="001154BA">
              <w:t>Description</w:t>
            </w:r>
          </w:p>
        </w:tc>
      </w:tr>
      <w:tr w:rsidR="00A51EFA" w:rsidRPr="001154BA" w14:paraId="43CEDA0D"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vAlign w:val="top"/>
          </w:tcPr>
          <w:p w14:paraId="2E2135A2" w14:textId="77777777" w:rsidR="00A51EFA" w:rsidRPr="003416B7" w:rsidRDefault="00A51EFA" w:rsidP="00F05DE6">
            <w:pPr>
              <w:rPr>
                <w:b/>
              </w:rPr>
            </w:pPr>
            <w:r w:rsidRPr="003416B7">
              <w:rPr>
                <w:b/>
              </w:rPr>
              <w:t xml:space="preserve">Approved Prescriber </w:t>
            </w:r>
          </w:p>
          <w:p w14:paraId="4B1365A9" w14:textId="77777777" w:rsidR="00A51EFA" w:rsidRPr="001154BA" w:rsidRDefault="00A51EFA" w:rsidP="00F05DE6"/>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vAlign w:val="top"/>
          </w:tcPr>
          <w:p w14:paraId="422FEE1E" w14:textId="77777777" w:rsidR="00A51EFA" w:rsidRPr="001154BA" w:rsidRDefault="00A51EFA" w:rsidP="00F05DE6">
            <w:r w:rsidRPr="003416B7">
              <w:t>An allied health professional or specialist nurse registered with the TEP with prescribing rights according to professional qualification, experience and type of aid/equipment.</w:t>
            </w:r>
          </w:p>
        </w:tc>
      </w:tr>
      <w:tr w:rsidR="00A51EFA" w:rsidRPr="001154BA" w14:paraId="08582AB8"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719006CD" w14:textId="77777777" w:rsidR="00A51EFA" w:rsidRPr="003416B7" w:rsidRDefault="00A51EFA" w:rsidP="00F05DE6">
            <w:pPr>
              <w:rPr>
                <w:b/>
              </w:rPr>
            </w:pPr>
            <w:r w:rsidRPr="003416B7">
              <w:rPr>
                <w:b/>
              </w:rPr>
              <w:t>Prescriber</w:t>
            </w:r>
          </w:p>
          <w:p w14:paraId="3D61DDC2" w14:textId="77777777" w:rsidR="00A51EFA" w:rsidRPr="001154BA" w:rsidRDefault="00A51EFA" w:rsidP="00F05DE6"/>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vAlign w:val="top"/>
          </w:tcPr>
          <w:p w14:paraId="6E853BE8" w14:textId="77777777" w:rsidR="00A51EFA" w:rsidRPr="003416B7" w:rsidRDefault="00A51EFA" w:rsidP="00F05DE6">
            <w:r w:rsidRPr="003416B7">
              <w:t>An allied health professional or specialist nurse who recommends equipment for a client. The prescribing therapist will consider the client’s intellectual, sensory, physical or mental health status, environment, functional capacity and equipment needs.  The prescribing therapist will be responsible for the issue, follow-up, monitoring and review associated with the equipment.</w:t>
            </w:r>
          </w:p>
        </w:tc>
      </w:tr>
    </w:tbl>
    <w:p w14:paraId="396B9D00" w14:textId="77777777" w:rsidR="00A51EFA" w:rsidRDefault="00A51EFA" w:rsidP="00A51EFA">
      <w:pPr>
        <w:spacing w:after="0"/>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A51EFA" w14:paraId="01FF4915" w14:textId="77777777" w:rsidTr="00F05DE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7072DFC4" w14:textId="77777777" w:rsidR="00A51EFA" w:rsidRDefault="00A51EFA" w:rsidP="00F05DE6">
            <w:pPr>
              <w:jc w:val="center"/>
            </w:pPr>
            <w:r>
              <w:t>Evidence</w:t>
            </w:r>
          </w:p>
        </w:tc>
      </w:tr>
      <w:tr w:rsidR="00A51EFA" w:rsidRPr="001154BA" w14:paraId="3BCBECC9" w14:textId="77777777" w:rsidTr="00F05DE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39A36D3E" w14:textId="77777777" w:rsidR="00A51EFA" w:rsidRPr="001154BA" w:rsidRDefault="00A51EFA" w:rsidP="00F05DE6">
            <w:pPr>
              <w:rPr>
                <w:b/>
              </w:rPr>
            </w:pPr>
            <w:r w:rsidRPr="001154BA">
              <w:rPr>
                <w:b/>
              </w:rPr>
              <w:lastRenderedPageBreak/>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4DA2A95C" w14:textId="77777777" w:rsidR="00A51EFA" w:rsidRPr="001154BA" w:rsidRDefault="00A51EFA" w:rsidP="00F05DE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744803FD" w14:textId="77777777" w:rsidR="00A51EFA" w:rsidRPr="001154BA" w:rsidRDefault="00A51EFA" w:rsidP="00F05DE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09CDEB63" w14:textId="77777777" w:rsidR="00A51EFA" w:rsidRPr="001154BA" w:rsidRDefault="00A51EFA" w:rsidP="00F05DE6">
            <w:pPr>
              <w:rPr>
                <w:b/>
              </w:rPr>
            </w:pPr>
            <w:r w:rsidRPr="001154BA">
              <w:rPr>
                <w:b/>
              </w:rPr>
              <w:t>Summary of Recommendation from this Reference</w:t>
            </w:r>
          </w:p>
        </w:tc>
      </w:tr>
      <w:tr w:rsidR="00A51EFA" w14:paraId="0CD40A03" w14:textId="77777777" w:rsidTr="00F05DE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1947C139" w14:textId="77777777" w:rsidR="00A51EFA" w:rsidRDefault="00A51EFA" w:rsidP="00F05DE6">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70CC7841" w14:textId="77777777" w:rsidR="00A51EFA" w:rsidRDefault="00A51EFA" w:rsidP="00F05DE6">
            <w:pPr>
              <w:jc w:val="center"/>
            </w:pPr>
            <w:r w:rsidRPr="005133A9">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6F2E3991" w14:textId="77777777" w:rsidR="00A51EFA" w:rsidRDefault="00A51EFA" w:rsidP="00F05DE6">
            <w:pPr>
              <w:jc w:val="center"/>
            </w:pPr>
            <w:r w:rsidRPr="005133A9">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5B635581" w14:textId="77777777" w:rsidR="00A51EFA" w:rsidRDefault="00A51EFA" w:rsidP="00F05DE6">
            <w:pPr>
              <w:jc w:val="center"/>
            </w:pPr>
            <w:r w:rsidRPr="005133A9">
              <w:t>N/A</w:t>
            </w:r>
          </w:p>
        </w:tc>
      </w:tr>
    </w:tbl>
    <w:p w14:paraId="3D90C7E4" w14:textId="77777777" w:rsidR="00A51EFA" w:rsidRDefault="00A51EFA" w:rsidP="00A51EFA">
      <w:pPr>
        <w:rPr>
          <w:lang w:eastAsia="en-AU"/>
        </w:rPr>
      </w:pPr>
    </w:p>
    <w:p w14:paraId="76515582" w14:textId="40184A17" w:rsidR="00A51EFA" w:rsidRPr="003416B7" w:rsidRDefault="00A51EFA" w:rsidP="00A51EFA">
      <w:pPr>
        <w:rPr>
          <w:noProof/>
          <w:color w:val="FF0000"/>
          <w:lang w:eastAsia="en-AU"/>
        </w:rPr>
      </w:pPr>
    </w:p>
    <w:tbl>
      <w:tblPr>
        <w:tblW w:w="4823" w:type="pct"/>
        <w:tblCellMar>
          <w:left w:w="0" w:type="dxa"/>
          <w:right w:w="0" w:type="dxa"/>
        </w:tblCellMar>
        <w:tblLook w:val="05A0" w:firstRow="1" w:lastRow="0" w:firstColumn="1" w:lastColumn="1" w:noHBand="0" w:noVBand="1"/>
      </w:tblPr>
      <w:tblGrid>
        <w:gridCol w:w="1175"/>
        <w:gridCol w:w="1104"/>
        <w:gridCol w:w="1094"/>
        <w:gridCol w:w="1108"/>
        <w:gridCol w:w="1453"/>
        <w:gridCol w:w="1456"/>
        <w:gridCol w:w="1260"/>
        <w:gridCol w:w="1284"/>
      </w:tblGrid>
      <w:tr w:rsidR="00A51EFA" w14:paraId="24869C9C" w14:textId="77777777" w:rsidTr="00F05DE6">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294A5AB5" w14:textId="77777777" w:rsidR="00A51EFA" w:rsidRDefault="00A51EFA" w:rsidP="00F05DE6">
            <w:pPr>
              <w:spacing w:after="0"/>
              <w:jc w:val="center"/>
              <w:rPr>
                <w:rFonts w:ascii="Calibri" w:hAnsi="Calibri"/>
              </w:rPr>
            </w:pPr>
            <w:r>
              <w:rPr>
                <w:b/>
                <w:bCs/>
              </w:rPr>
              <w:t>National Safety and Quality Health Service Standards</w:t>
            </w:r>
          </w:p>
        </w:tc>
      </w:tr>
      <w:tr w:rsidR="00A51EFA" w14:paraId="1299DAF4" w14:textId="77777777" w:rsidTr="00F05DE6">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2D1C1" w14:textId="77777777" w:rsidR="00A51EFA" w:rsidRDefault="00A51EFA" w:rsidP="00F05DE6">
            <w:pPr>
              <w:spacing w:before="20"/>
              <w:jc w:val="center"/>
            </w:pPr>
            <w:r>
              <w:rPr>
                <w:noProof/>
                <w:sz w:val="18"/>
                <w:szCs w:val="18"/>
                <w:lang w:eastAsia="en-AU"/>
              </w:rPr>
              <w:drawing>
                <wp:inline distT="0" distB="0" distL="0" distR="0" wp14:anchorId="26D67C8B" wp14:editId="0D74AC1A">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A5C516" w14:textId="77777777" w:rsidR="00A51EFA" w:rsidRDefault="00A51EFA" w:rsidP="00F05DE6">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D86AD04" w14:textId="77777777" w:rsidR="00A51EFA" w:rsidRDefault="00A51EFA" w:rsidP="00F05DE6">
            <w:pPr>
              <w:spacing w:before="20"/>
              <w:jc w:val="center"/>
            </w:pPr>
            <w:r>
              <w:rPr>
                <w:noProof/>
                <w:sz w:val="18"/>
                <w:szCs w:val="18"/>
                <w:lang w:eastAsia="en-AU"/>
              </w:rPr>
              <w:drawing>
                <wp:inline distT="0" distB="0" distL="0" distR="0" wp14:anchorId="4FFB1F7C" wp14:editId="6FF3C12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2A84BFD" w14:textId="77777777" w:rsidR="00A51EFA" w:rsidRDefault="00A51EFA" w:rsidP="00F05DE6">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3D782B70" w14:textId="77777777" w:rsidR="00A51EFA" w:rsidRDefault="00A51EFA" w:rsidP="00F05DE6">
            <w:pPr>
              <w:spacing w:before="20"/>
              <w:jc w:val="center"/>
            </w:pPr>
            <w:r>
              <w:rPr>
                <w:noProof/>
                <w:sz w:val="18"/>
                <w:szCs w:val="18"/>
                <w:lang w:eastAsia="en-AU"/>
              </w:rPr>
              <w:drawing>
                <wp:inline distT="0" distB="0" distL="0" distR="0" wp14:anchorId="754688C0" wp14:editId="2DF930F3">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46272B59" w14:textId="77777777" w:rsidR="00A51EFA" w:rsidRDefault="00A51EFA" w:rsidP="00F05DE6">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7B6CFFE" w14:textId="77777777" w:rsidR="00A51EFA" w:rsidRDefault="00A51EFA" w:rsidP="00F05DE6">
            <w:pPr>
              <w:spacing w:before="20"/>
              <w:jc w:val="center"/>
            </w:pPr>
            <w:r>
              <w:rPr>
                <w:noProof/>
                <w:sz w:val="18"/>
                <w:szCs w:val="18"/>
                <w:lang w:eastAsia="en-AU"/>
              </w:rPr>
              <w:drawing>
                <wp:inline distT="0" distB="0" distL="0" distR="0" wp14:anchorId="4BD7B637" wp14:editId="2D7630F3">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B563B3B" w14:textId="77777777" w:rsidR="00A51EFA" w:rsidRDefault="00A51EFA" w:rsidP="00F05DE6">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662B3F37" w14:textId="77777777" w:rsidR="00A51EFA" w:rsidRDefault="00A51EFA" w:rsidP="00F05DE6">
            <w:pPr>
              <w:spacing w:before="20"/>
              <w:jc w:val="center"/>
            </w:pPr>
            <w:r>
              <w:rPr>
                <w:noProof/>
                <w:sz w:val="18"/>
                <w:szCs w:val="18"/>
                <w:lang w:eastAsia="en-AU"/>
              </w:rPr>
              <w:drawing>
                <wp:inline distT="0" distB="0" distL="0" distR="0" wp14:anchorId="2A40B35E" wp14:editId="0F2DF5DE">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42519B1" w14:textId="77777777" w:rsidR="00A51EFA" w:rsidRDefault="00A51EFA" w:rsidP="00F05DE6">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3E5766AE" w14:textId="77777777" w:rsidR="00A51EFA" w:rsidRDefault="00A51EFA" w:rsidP="00F05DE6">
            <w:pPr>
              <w:spacing w:before="20"/>
              <w:jc w:val="center"/>
            </w:pPr>
            <w:r>
              <w:rPr>
                <w:noProof/>
                <w:sz w:val="18"/>
                <w:szCs w:val="18"/>
                <w:lang w:eastAsia="en-AU"/>
              </w:rPr>
              <w:drawing>
                <wp:inline distT="0" distB="0" distL="0" distR="0" wp14:anchorId="713DFB85" wp14:editId="71E70E28">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0AF0B6" w14:textId="77777777" w:rsidR="00A51EFA" w:rsidRDefault="00A51EFA" w:rsidP="00F05DE6">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50C1453E" w14:textId="77777777" w:rsidR="00A51EFA" w:rsidRDefault="00A51EFA" w:rsidP="00F05DE6">
            <w:pPr>
              <w:spacing w:before="20"/>
              <w:jc w:val="center"/>
            </w:pPr>
            <w:r>
              <w:rPr>
                <w:noProof/>
                <w:sz w:val="18"/>
                <w:szCs w:val="18"/>
                <w:lang w:eastAsia="en-AU"/>
              </w:rPr>
              <w:drawing>
                <wp:inline distT="0" distB="0" distL="0" distR="0" wp14:anchorId="481703A6" wp14:editId="35F3DF88">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8A2E2C" w14:textId="77777777" w:rsidR="00A51EFA" w:rsidRDefault="00A51EFA" w:rsidP="00F05DE6">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4D1A0EDF" w14:textId="77777777" w:rsidR="00A51EFA" w:rsidRDefault="00A51EFA" w:rsidP="00F05DE6">
            <w:pPr>
              <w:spacing w:before="20"/>
              <w:jc w:val="center"/>
            </w:pPr>
            <w:r>
              <w:rPr>
                <w:noProof/>
                <w:sz w:val="18"/>
                <w:szCs w:val="18"/>
                <w:lang w:eastAsia="en-AU"/>
              </w:rPr>
              <w:drawing>
                <wp:inline distT="0" distB="0" distL="0" distR="0" wp14:anchorId="67D33148" wp14:editId="2C167EEF">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BB96663" w14:textId="77777777" w:rsidR="00A51EFA" w:rsidRDefault="00A51EFA" w:rsidP="00F05DE6">
            <w:pPr>
              <w:spacing w:before="20"/>
              <w:jc w:val="center"/>
            </w:pPr>
            <w:r>
              <w:rPr>
                <w:sz w:val="18"/>
                <w:szCs w:val="18"/>
              </w:rPr>
              <w:t>Recognising &amp; Responding to Acute Deterioration</w:t>
            </w:r>
          </w:p>
        </w:tc>
      </w:tr>
      <w:tr w:rsidR="00A51EFA" w14:paraId="693A0732" w14:textId="77777777" w:rsidTr="00F05DE6">
        <w:trPr>
          <w:cantSplit/>
          <w:trHeight w:val="567"/>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18733" w14:textId="77777777" w:rsidR="00A51EFA" w:rsidRDefault="00B06DF1" w:rsidP="00F05DE6">
            <w:pPr>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C9116" w14:textId="77777777" w:rsidR="00A51EFA" w:rsidRDefault="00B06DF1" w:rsidP="00F05DE6">
            <w:pPr>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6BF7F" w14:textId="77777777" w:rsidR="00A51EFA" w:rsidRDefault="00B06DF1" w:rsidP="00F05DE6">
            <w:pPr>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D686B" w14:textId="77777777" w:rsidR="00A51EFA" w:rsidRDefault="00B06DF1" w:rsidP="00F05DE6">
            <w:pPr>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B9F52" w14:textId="77777777" w:rsidR="00A51EFA" w:rsidRDefault="00B06DF1" w:rsidP="00F05DE6">
            <w:pPr>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BED73" w14:textId="77777777" w:rsidR="00A51EFA" w:rsidRDefault="00B06DF1" w:rsidP="00F05DE6">
            <w:pPr>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11464" w14:textId="77777777" w:rsidR="00A51EFA" w:rsidRDefault="00B06DF1" w:rsidP="00F05DE6">
            <w:pPr>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82255" w14:textId="77777777" w:rsidR="00A51EFA" w:rsidRDefault="00B06DF1" w:rsidP="00F05DE6">
            <w:pPr>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51EFA">
                  <w:rPr>
                    <w:rFonts w:ascii="MS Gothic" w:eastAsia="MS Gothic" w:hAnsi="MS Gothic" w:hint="eastAsia"/>
                    <w:lang w:val="en-US"/>
                  </w:rPr>
                  <w:t>☐</w:t>
                </w:r>
              </w:sdtContent>
            </w:sdt>
          </w:p>
        </w:tc>
      </w:tr>
    </w:tbl>
    <w:p w14:paraId="7B09BF54" w14:textId="600A2241" w:rsidR="0043796D" w:rsidRPr="00A51EFA" w:rsidRDefault="0043796D" w:rsidP="00A51EFA"/>
    <w:sectPr w:rsidR="0043796D" w:rsidRPr="00A51EFA" w:rsidSect="00E34447">
      <w:headerReference w:type="even" r:id="rId33"/>
      <w:headerReference w:type="default" r:id="rId34"/>
      <w:footerReference w:type="even" r:id="rId35"/>
      <w:footerReference w:type="default" r:id="rId36"/>
      <w:headerReference w:type="first" r:id="rId37"/>
      <w:footerReference w:type="first" r:id="rId38"/>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5651" w14:textId="77777777" w:rsidR="00B06DF1" w:rsidRDefault="00B06DF1" w:rsidP="007332FF">
      <w:r>
        <w:separator/>
      </w:r>
    </w:p>
  </w:endnote>
  <w:endnote w:type="continuationSeparator" w:id="0">
    <w:p w14:paraId="5BD54949" w14:textId="77777777" w:rsidR="00B06DF1" w:rsidRDefault="00B06DF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385F" w14:textId="77777777" w:rsidR="00374ADF" w:rsidRDefault="00374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5B1FB6DE"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3973">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3973">
            <w:rPr>
              <w:rStyle w:val="PageNumber"/>
              <w:noProof/>
            </w:rPr>
            <w:t>7</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302DA1DB"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397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3973">
            <w:rPr>
              <w:rStyle w:val="PageNumber"/>
              <w:noProof/>
            </w:rPr>
            <w:t>7</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44DC" w14:textId="77777777" w:rsidR="00B06DF1" w:rsidRDefault="00B06DF1" w:rsidP="007332FF">
      <w:r>
        <w:separator/>
      </w:r>
    </w:p>
  </w:footnote>
  <w:footnote w:type="continuationSeparator" w:id="0">
    <w:p w14:paraId="5EA5354E" w14:textId="77777777" w:rsidR="00B06DF1" w:rsidRDefault="00B06DF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428D" w14:textId="77777777" w:rsidR="00374ADF" w:rsidRDefault="00374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54AA51EC" w:rsidR="00983000" w:rsidRPr="006A7E17" w:rsidRDefault="006A7E17" w:rsidP="006A7E17">
    <w:pPr>
      <w:pStyle w:val="Header"/>
    </w:pPr>
    <w:r w:rsidRPr="006A7E17">
      <w:rPr>
        <w:noProof/>
      </w:rPr>
      <w:t>Professional Criteria for Approved Prescribers within the Territory Equipment Program (AP-1)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E107" w14:textId="7E1BD3F6" w:rsidR="00E54F9E" w:rsidRPr="006A7E17" w:rsidRDefault="006A7E17" w:rsidP="00A22FA6">
    <w:pPr>
      <w:pStyle w:val="Title"/>
      <w:rPr>
        <w:sz w:val="48"/>
        <w:szCs w:val="48"/>
      </w:rPr>
    </w:pPr>
    <w:r w:rsidRPr="006A7E17">
      <w:rPr>
        <w:noProof/>
        <w:sz w:val="48"/>
        <w:szCs w:val="48"/>
      </w:rPr>
      <w:t>Professional Criteria for Approved Prescribers within the Territory Equipment Program (AP-1)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9F3"/>
    <w:multiLevelType w:val="hybridMultilevel"/>
    <w:tmpl w:val="4F7E1D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111FC"/>
    <w:multiLevelType w:val="multilevel"/>
    <w:tmpl w:val="B8F2B084"/>
    <w:lvl w:ilvl="0">
      <w:start w:val="6"/>
      <w:numFmt w:val="lowerLetter"/>
      <w:lvlText w:val="%1)"/>
      <w:lvlJc w:val="left"/>
      <w:pPr>
        <w:ind w:left="108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08956A8A"/>
    <w:multiLevelType w:val="multilevel"/>
    <w:tmpl w:val="1090A0A4"/>
    <w:lvl w:ilvl="0">
      <w:start w:val="1"/>
      <w:numFmt w:val="lowerLetter"/>
      <w:lvlText w:val="%1)"/>
      <w:lvlJc w:val="left"/>
      <w:pPr>
        <w:ind w:left="936" w:hanging="360"/>
      </w:pPr>
    </w:lvl>
    <w:lvl w:ilvl="1">
      <w:start w:val="1"/>
      <w:numFmt w:val="decimal"/>
      <w:isLgl/>
      <w:lvlText w:val="%1.%2"/>
      <w:lvlJc w:val="left"/>
      <w:pPr>
        <w:ind w:left="936" w:hanging="360"/>
      </w:pPr>
      <w:rPr>
        <w:rFonts w:hint="default"/>
        <w:sz w:val="22"/>
      </w:rPr>
    </w:lvl>
    <w:lvl w:ilvl="2">
      <w:start w:val="1"/>
      <w:numFmt w:val="decimal"/>
      <w:isLgl/>
      <w:lvlText w:val="%1.%2.%3"/>
      <w:lvlJc w:val="left"/>
      <w:pPr>
        <w:ind w:left="1296" w:hanging="720"/>
      </w:pPr>
      <w:rPr>
        <w:rFonts w:hint="default"/>
        <w:sz w:val="22"/>
      </w:rPr>
    </w:lvl>
    <w:lvl w:ilvl="3">
      <w:start w:val="1"/>
      <w:numFmt w:val="decimal"/>
      <w:isLgl/>
      <w:lvlText w:val="%1.%2.%3.%4"/>
      <w:lvlJc w:val="left"/>
      <w:pPr>
        <w:ind w:left="1656" w:hanging="1080"/>
      </w:pPr>
      <w:rPr>
        <w:rFonts w:hint="default"/>
        <w:sz w:val="22"/>
      </w:rPr>
    </w:lvl>
    <w:lvl w:ilvl="4">
      <w:start w:val="1"/>
      <w:numFmt w:val="decimal"/>
      <w:isLgl/>
      <w:lvlText w:val="%1.%2.%3.%4.%5"/>
      <w:lvlJc w:val="left"/>
      <w:pPr>
        <w:ind w:left="1656" w:hanging="1080"/>
      </w:pPr>
      <w:rPr>
        <w:rFonts w:hint="default"/>
        <w:sz w:val="22"/>
      </w:rPr>
    </w:lvl>
    <w:lvl w:ilvl="5">
      <w:start w:val="1"/>
      <w:numFmt w:val="decimal"/>
      <w:isLgl/>
      <w:lvlText w:val="%1.%2.%3.%4.%5.%6"/>
      <w:lvlJc w:val="left"/>
      <w:pPr>
        <w:ind w:left="2016" w:hanging="1440"/>
      </w:pPr>
      <w:rPr>
        <w:rFonts w:hint="default"/>
        <w:sz w:val="22"/>
      </w:rPr>
    </w:lvl>
    <w:lvl w:ilvl="6">
      <w:start w:val="1"/>
      <w:numFmt w:val="decimal"/>
      <w:isLgl/>
      <w:lvlText w:val="%1.%2.%3.%4.%5.%6.%7"/>
      <w:lvlJc w:val="left"/>
      <w:pPr>
        <w:ind w:left="2016" w:hanging="1440"/>
      </w:pPr>
      <w:rPr>
        <w:rFonts w:hint="default"/>
        <w:sz w:val="22"/>
      </w:rPr>
    </w:lvl>
    <w:lvl w:ilvl="7">
      <w:start w:val="1"/>
      <w:numFmt w:val="decimal"/>
      <w:isLgl/>
      <w:lvlText w:val="%1.%2.%3.%4.%5.%6.%7.%8"/>
      <w:lvlJc w:val="left"/>
      <w:pPr>
        <w:ind w:left="2376" w:hanging="1800"/>
      </w:pPr>
      <w:rPr>
        <w:rFonts w:hint="default"/>
        <w:sz w:val="22"/>
      </w:rPr>
    </w:lvl>
    <w:lvl w:ilvl="8">
      <w:start w:val="1"/>
      <w:numFmt w:val="decimal"/>
      <w:isLgl/>
      <w:lvlText w:val="%1.%2.%3.%4.%5.%6.%7.%8.%9"/>
      <w:lvlJc w:val="left"/>
      <w:pPr>
        <w:ind w:left="2376" w:hanging="1800"/>
      </w:pPr>
      <w:rPr>
        <w:rFonts w:hint="default"/>
        <w:sz w:val="22"/>
      </w:rPr>
    </w:lvl>
  </w:abstractNum>
  <w:abstractNum w:abstractNumId="3" w15:restartNumberingAfterBreak="0">
    <w:nsid w:val="0AEF3549"/>
    <w:multiLevelType w:val="hybridMultilevel"/>
    <w:tmpl w:val="DA4065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4568FB"/>
    <w:multiLevelType w:val="hybridMultilevel"/>
    <w:tmpl w:val="628E4A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7DC50ED"/>
    <w:multiLevelType w:val="hybridMultilevel"/>
    <w:tmpl w:val="D8C0BB24"/>
    <w:lvl w:ilvl="0" w:tplc="0C090017">
      <w:start w:val="1"/>
      <w:numFmt w:val="lowerLetter"/>
      <w:lvlText w:val="%1)"/>
      <w:lvlJc w:val="left"/>
      <w:pPr>
        <w:ind w:left="936" w:hanging="360"/>
      </w:p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1" w15:restartNumberingAfterBreak="0">
    <w:nsid w:val="29AE3770"/>
    <w:multiLevelType w:val="hybridMultilevel"/>
    <w:tmpl w:val="EC484B82"/>
    <w:lvl w:ilvl="0" w:tplc="0C090017">
      <w:start w:val="1"/>
      <w:numFmt w:val="lowerLetter"/>
      <w:lvlText w:val="%1)"/>
      <w:lvlJc w:val="left"/>
      <w:pPr>
        <w:ind w:left="936" w:hanging="360"/>
      </w:p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2" w15:restartNumberingAfterBreak="0">
    <w:nsid w:val="2AD566ED"/>
    <w:multiLevelType w:val="hybridMultilevel"/>
    <w:tmpl w:val="B234F12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2FF61B00"/>
    <w:multiLevelType w:val="hybridMultilevel"/>
    <w:tmpl w:val="0CD237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0846834"/>
    <w:multiLevelType w:val="hybridMultilevel"/>
    <w:tmpl w:val="D13A1708"/>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8" w15:restartNumberingAfterBreak="0">
    <w:nsid w:val="31107C84"/>
    <w:multiLevelType w:val="hybridMultilevel"/>
    <w:tmpl w:val="7092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43E65F2"/>
    <w:multiLevelType w:val="hybridMultilevel"/>
    <w:tmpl w:val="7368B5DC"/>
    <w:lvl w:ilvl="0" w:tplc="0C090017">
      <w:start w:val="1"/>
      <w:numFmt w:val="lowerLetter"/>
      <w:lvlText w:val="%1)"/>
      <w:lvlJc w:val="left"/>
      <w:pPr>
        <w:ind w:left="936" w:hanging="360"/>
      </w:p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F0376E"/>
    <w:multiLevelType w:val="hybridMultilevel"/>
    <w:tmpl w:val="5CE8B1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8415E00"/>
    <w:multiLevelType w:val="hybridMultilevel"/>
    <w:tmpl w:val="DBC46CBC"/>
    <w:lvl w:ilvl="0" w:tplc="0C090017">
      <w:start w:val="1"/>
      <w:numFmt w:val="lowerLetter"/>
      <w:lvlText w:val="%1)"/>
      <w:lvlJc w:val="left"/>
      <w:pPr>
        <w:ind w:left="936" w:hanging="360"/>
      </w:p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34" w15:restartNumberingAfterBreak="0">
    <w:nsid w:val="3A116DFA"/>
    <w:multiLevelType w:val="multilevel"/>
    <w:tmpl w:val="BDA883F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3CDD39DF"/>
    <w:multiLevelType w:val="hybridMultilevel"/>
    <w:tmpl w:val="9F0C1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0A40D76"/>
    <w:multiLevelType w:val="hybridMultilevel"/>
    <w:tmpl w:val="497EF7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192361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1E828F1"/>
    <w:multiLevelType w:val="hybridMultilevel"/>
    <w:tmpl w:val="A1CC8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607C39"/>
    <w:multiLevelType w:val="multilevel"/>
    <w:tmpl w:val="ABA8D0F8"/>
    <w:lvl w:ilvl="0">
      <w:start w:val="1"/>
      <w:numFmt w:val="decimal"/>
      <w:lvlText w:val="%1."/>
      <w:lvlJc w:val="left"/>
      <w:pPr>
        <w:ind w:left="360" w:hanging="360"/>
      </w:p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41" w15:restartNumberingAfterBreak="0">
    <w:nsid w:val="46461EB2"/>
    <w:multiLevelType w:val="hybridMultilevel"/>
    <w:tmpl w:val="81A627D0"/>
    <w:lvl w:ilvl="0" w:tplc="0C090017">
      <w:start w:val="1"/>
      <w:numFmt w:val="lowerLetter"/>
      <w:lvlText w:val="%1)"/>
      <w:lvlJc w:val="left"/>
      <w:pPr>
        <w:ind w:left="936" w:hanging="360"/>
      </w:p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42" w15:restartNumberingAfterBreak="0">
    <w:nsid w:val="49840838"/>
    <w:multiLevelType w:val="multilevel"/>
    <w:tmpl w:val="1D1619EA"/>
    <w:lvl w:ilvl="0">
      <w:start w:val="1"/>
      <w:numFmt w:val="lowerLetter"/>
      <w:lvlText w:val="%1)"/>
      <w:lvlJc w:val="left"/>
      <w:pPr>
        <w:ind w:left="108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C5E6990"/>
    <w:multiLevelType w:val="hybridMultilevel"/>
    <w:tmpl w:val="07208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6169D"/>
    <w:multiLevelType w:val="hybridMultilevel"/>
    <w:tmpl w:val="69E4B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58B59B5"/>
    <w:multiLevelType w:val="multilevel"/>
    <w:tmpl w:val="7EA87E4C"/>
    <w:lvl w:ilvl="0">
      <w:start w:val="1"/>
      <w:numFmt w:val="lowerLetter"/>
      <w:lvlText w:val="%1)"/>
      <w:lvlJc w:val="left"/>
      <w:pPr>
        <w:ind w:left="108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55" w15:restartNumberingAfterBreak="0">
    <w:nsid w:val="66E70A9B"/>
    <w:multiLevelType w:val="hybridMultilevel"/>
    <w:tmpl w:val="9B9C1B8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C234054"/>
    <w:multiLevelType w:val="hybridMultilevel"/>
    <w:tmpl w:val="4F443F10"/>
    <w:lvl w:ilvl="0" w:tplc="0C090017">
      <w:start w:val="1"/>
      <w:numFmt w:val="lowerLetter"/>
      <w:lvlText w:val="%1)"/>
      <w:lvlJc w:val="left"/>
      <w:pPr>
        <w:ind w:left="936" w:hanging="360"/>
      </w:p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58" w15:restartNumberingAfterBreak="0">
    <w:nsid w:val="6DD71390"/>
    <w:multiLevelType w:val="hybridMultilevel"/>
    <w:tmpl w:val="490CC1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02165E1"/>
    <w:multiLevelType w:val="multilevel"/>
    <w:tmpl w:val="ABA8D0F8"/>
    <w:lvl w:ilvl="0">
      <w:start w:val="1"/>
      <w:numFmt w:val="decimal"/>
      <w:lvlText w:val="%1."/>
      <w:lvlJc w:val="left"/>
      <w:pPr>
        <w:ind w:left="360" w:hanging="360"/>
      </w:p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B5F4827"/>
    <w:multiLevelType w:val="multilevel"/>
    <w:tmpl w:val="9796C462"/>
    <w:lvl w:ilvl="0">
      <w:start w:val="1"/>
      <w:numFmt w:val="lowerLetter"/>
      <w:lvlText w:val="%1)"/>
      <w:lvlJc w:val="left"/>
      <w:pPr>
        <w:ind w:left="936" w:hanging="360"/>
      </w:pPr>
    </w:lvl>
    <w:lvl w:ilvl="1">
      <w:start w:val="1"/>
      <w:numFmt w:val="decimal"/>
      <w:isLgl/>
      <w:lvlText w:val="%1.%2"/>
      <w:lvlJc w:val="left"/>
      <w:pPr>
        <w:ind w:left="936" w:hanging="360"/>
      </w:pPr>
      <w:rPr>
        <w:rFonts w:hint="default"/>
        <w:sz w:val="22"/>
      </w:rPr>
    </w:lvl>
    <w:lvl w:ilvl="2">
      <w:start w:val="1"/>
      <w:numFmt w:val="decimal"/>
      <w:isLgl/>
      <w:lvlText w:val="%1.%2.%3"/>
      <w:lvlJc w:val="left"/>
      <w:pPr>
        <w:ind w:left="1296" w:hanging="720"/>
      </w:pPr>
      <w:rPr>
        <w:rFonts w:hint="default"/>
        <w:sz w:val="22"/>
      </w:rPr>
    </w:lvl>
    <w:lvl w:ilvl="3">
      <w:start w:val="1"/>
      <w:numFmt w:val="decimal"/>
      <w:isLgl/>
      <w:lvlText w:val="%1.%2.%3.%4"/>
      <w:lvlJc w:val="left"/>
      <w:pPr>
        <w:ind w:left="1656" w:hanging="1080"/>
      </w:pPr>
      <w:rPr>
        <w:rFonts w:hint="default"/>
        <w:sz w:val="22"/>
      </w:rPr>
    </w:lvl>
    <w:lvl w:ilvl="4">
      <w:start w:val="1"/>
      <w:numFmt w:val="decimal"/>
      <w:isLgl/>
      <w:lvlText w:val="%1.%2.%3.%4.%5"/>
      <w:lvlJc w:val="left"/>
      <w:pPr>
        <w:ind w:left="1656" w:hanging="1080"/>
      </w:pPr>
      <w:rPr>
        <w:rFonts w:hint="default"/>
        <w:sz w:val="22"/>
      </w:rPr>
    </w:lvl>
    <w:lvl w:ilvl="5">
      <w:start w:val="1"/>
      <w:numFmt w:val="decimal"/>
      <w:isLgl/>
      <w:lvlText w:val="%1.%2.%3.%4.%5.%6"/>
      <w:lvlJc w:val="left"/>
      <w:pPr>
        <w:ind w:left="2016" w:hanging="1440"/>
      </w:pPr>
      <w:rPr>
        <w:rFonts w:hint="default"/>
        <w:sz w:val="22"/>
      </w:rPr>
    </w:lvl>
    <w:lvl w:ilvl="6">
      <w:start w:val="1"/>
      <w:numFmt w:val="decimal"/>
      <w:isLgl/>
      <w:lvlText w:val="%1.%2.%3.%4.%5.%6.%7"/>
      <w:lvlJc w:val="left"/>
      <w:pPr>
        <w:ind w:left="2016" w:hanging="1440"/>
      </w:pPr>
      <w:rPr>
        <w:rFonts w:hint="default"/>
        <w:sz w:val="22"/>
      </w:rPr>
    </w:lvl>
    <w:lvl w:ilvl="7">
      <w:start w:val="1"/>
      <w:numFmt w:val="decimal"/>
      <w:isLgl/>
      <w:lvlText w:val="%1.%2.%3.%4.%5.%6.%7.%8"/>
      <w:lvlJc w:val="left"/>
      <w:pPr>
        <w:ind w:left="2376" w:hanging="1800"/>
      </w:pPr>
      <w:rPr>
        <w:rFonts w:hint="default"/>
        <w:sz w:val="22"/>
      </w:rPr>
    </w:lvl>
    <w:lvl w:ilvl="8">
      <w:start w:val="1"/>
      <w:numFmt w:val="decimal"/>
      <w:isLgl/>
      <w:lvlText w:val="%1.%2.%3.%4.%5.%6.%7.%8.%9"/>
      <w:lvlJc w:val="left"/>
      <w:pPr>
        <w:ind w:left="2376" w:hanging="1800"/>
      </w:pPr>
      <w:rPr>
        <w:rFonts w:hint="default"/>
        <w:sz w:val="22"/>
      </w:r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6"/>
  </w:num>
  <w:num w:numId="3">
    <w:abstractNumId w:val="62"/>
  </w:num>
  <w:num w:numId="4">
    <w:abstractNumId w:val="44"/>
  </w:num>
  <w:num w:numId="5">
    <w:abstractNumId w:val="23"/>
  </w:num>
  <w:num w:numId="6">
    <w:abstractNumId w:val="11"/>
  </w:num>
  <w:num w:numId="7">
    <w:abstractNumId w:val="47"/>
  </w:num>
  <w:num w:numId="8">
    <w:abstractNumId w:val="19"/>
  </w:num>
  <w:num w:numId="9">
    <w:abstractNumId w:val="26"/>
  </w:num>
  <w:num w:numId="10">
    <w:abstractNumId w:val="3"/>
  </w:num>
  <w:num w:numId="11">
    <w:abstractNumId w:val="58"/>
  </w:num>
  <w:num w:numId="12">
    <w:abstractNumId w:val="39"/>
  </w:num>
  <w:num w:numId="13">
    <w:abstractNumId w:val="15"/>
  </w:num>
  <w:num w:numId="14">
    <w:abstractNumId w:val="34"/>
  </w:num>
  <w:num w:numId="15">
    <w:abstractNumId w:val="28"/>
  </w:num>
  <w:num w:numId="16">
    <w:abstractNumId w:val="0"/>
  </w:num>
  <w:num w:numId="17">
    <w:abstractNumId w:val="36"/>
  </w:num>
  <w:num w:numId="18">
    <w:abstractNumId w:val="45"/>
  </w:num>
  <w:num w:numId="19">
    <w:abstractNumId w:val="40"/>
  </w:num>
  <w:num w:numId="20">
    <w:abstractNumId w:val="41"/>
  </w:num>
  <w:num w:numId="21">
    <w:abstractNumId w:val="20"/>
  </w:num>
  <w:num w:numId="22">
    <w:abstractNumId w:val="27"/>
  </w:num>
  <w:num w:numId="23">
    <w:abstractNumId w:val="2"/>
  </w:num>
  <w:num w:numId="24">
    <w:abstractNumId w:val="63"/>
  </w:num>
  <w:num w:numId="25">
    <w:abstractNumId w:val="21"/>
  </w:num>
  <w:num w:numId="26">
    <w:abstractNumId w:val="33"/>
  </w:num>
  <w:num w:numId="27">
    <w:abstractNumId w:val="57"/>
  </w:num>
  <w:num w:numId="28">
    <w:abstractNumId w:val="30"/>
  </w:num>
  <w:num w:numId="29">
    <w:abstractNumId w:val="38"/>
  </w:num>
  <w:num w:numId="30">
    <w:abstractNumId w:val="59"/>
  </w:num>
  <w:num w:numId="31">
    <w:abstractNumId w:val="55"/>
  </w:num>
  <w:num w:numId="32">
    <w:abstractNumId w:val="37"/>
  </w:num>
  <w:num w:numId="33">
    <w:abstractNumId w:val="22"/>
  </w:num>
  <w:num w:numId="34">
    <w:abstractNumId w:val="49"/>
  </w:num>
  <w:num w:numId="35">
    <w:abstractNumId w:val="1"/>
  </w:num>
  <w:num w:numId="36">
    <w:abstractNumId w:val="32"/>
  </w:num>
  <w:num w:numId="37">
    <w:abstractNumId w:val="54"/>
  </w:num>
  <w:num w:numId="38">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2393A"/>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0548"/>
    <w:rsid w:val="000A4317"/>
    <w:rsid w:val="000A559C"/>
    <w:rsid w:val="000A6856"/>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B3B"/>
    <w:rsid w:val="001F59E6"/>
    <w:rsid w:val="00201CEA"/>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218C"/>
    <w:rsid w:val="00357D55"/>
    <w:rsid w:val="00363513"/>
    <w:rsid w:val="003657E5"/>
    <w:rsid w:val="0036589C"/>
    <w:rsid w:val="00371312"/>
    <w:rsid w:val="00371DC7"/>
    <w:rsid w:val="00374ADF"/>
    <w:rsid w:val="00377B21"/>
    <w:rsid w:val="00382A7F"/>
    <w:rsid w:val="00390862"/>
    <w:rsid w:val="00390CE3"/>
    <w:rsid w:val="00394876"/>
    <w:rsid w:val="00394AAF"/>
    <w:rsid w:val="00394CE5"/>
    <w:rsid w:val="003A55C2"/>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3796D"/>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266E"/>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4453"/>
    <w:rsid w:val="005F0B17"/>
    <w:rsid w:val="005F6602"/>
    <w:rsid w:val="005F77C7"/>
    <w:rsid w:val="00620675"/>
    <w:rsid w:val="00622910"/>
    <w:rsid w:val="006254B6"/>
    <w:rsid w:val="00627FC8"/>
    <w:rsid w:val="006433C3"/>
    <w:rsid w:val="00650F5B"/>
    <w:rsid w:val="006630AB"/>
    <w:rsid w:val="006670D7"/>
    <w:rsid w:val="006719EA"/>
    <w:rsid w:val="00671F13"/>
    <w:rsid w:val="0067400A"/>
    <w:rsid w:val="006847AD"/>
    <w:rsid w:val="0069114B"/>
    <w:rsid w:val="006944C1"/>
    <w:rsid w:val="006A756A"/>
    <w:rsid w:val="006A7E17"/>
    <w:rsid w:val="006C0EC2"/>
    <w:rsid w:val="006D66F7"/>
    <w:rsid w:val="006F550B"/>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EC2"/>
    <w:rsid w:val="00854EC1"/>
    <w:rsid w:val="0085797F"/>
    <w:rsid w:val="00861DC3"/>
    <w:rsid w:val="00867019"/>
    <w:rsid w:val="00872EF1"/>
    <w:rsid w:val="008735A9"/>
    <w:rsid w:val="00877BC5"/>
    <w:rsid w:val="00877D20"/>
    <w:rsid w:val="00881C48"/>
    <w:rsid w:val="00885B80"/>
    <w:rsid w:val="00885C30"/>
    <w:rsid w:val="00885E9B"/>
    <w:rsid w:val="00892DCF"/>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1D5A"/>
    <w:rsid w:val="00977919"/>
    <w:rsid w:val="00983000"/>
    <w:rsid w:val="009870FA"/>
    <w:rsid w:val="009921C3"/>
    <w:rsid w:val="0099551D"/>
    <w:rsid w:val="009A0914"/>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FA6"/>
    <w:rsid w:val="00A25193"/>
    <w:rsid w:val="00A26E80"/>
    <w:rsid w:val="00A31AE8"/>
    <w:rsid w:val="00A3739D"/>
    <w:rsid w:val="00A37DDA"/>
    <w:rsid w:val="00A45005"/>
    <w:rsid w:val="00A51EFA"/>
    <w:rsid w:val="00A567EE"/>
    <w:rsid w:val="00A70DD8"/>
    <w:rsid w:val="00A76790"/>
    <w:rsid w:val="00A854FF"/>
    <w:rsid w:val="00A85D0C"/>
    <w:rsid w:val="00A925EC"/>
    <w:rsid w:val="00A929AA"/>
    <w:rsid w:val="00A92B6B"/>
    <w:rsid w:val="00AA541E"/>
    <w:rsid w:val="00AD0DA4"/>
    <w:rsid w:val="00AD4169"/>
    <w:rsid w:val="00AE25C6"/>
    <w:rsid w:val="00AE306C"/>
    <w:rsid w:val="00AF28C1"/>
    <w:rsid w:val="00B02EF1"/>
    <w:rsid w:val="00B06DF1"/>
    <w:rsid w:val="00B07C97"/>
    <w:rsid w:val="00B11C67"/>
    <w:rsid w:val="00B14257"/>
    <w:rsid w:val="00B15754"/>
    <w:rsid w:val="00B16002"/>
    <w:rsid w:val="00B2046E"/>
    <w:rsid w:val="00B20E8B"/>
    <w:rsid w:val="00B257E1"/>
    <w:rsid w:val="00B2599A"/>
    <w:rsid w:val="00B27AC4"/>
    <w:rsid w:val="00B343CC"/>
    <w:rsid w:val="00B44A98"/>
    <w:rsid w:val="00B5084A"/>
    <w:rsid w:val="00B606A1"/>
    <w:rsid w:val="00B614F7"/>
    <w:rsid w:val="00B61B26"/>
    <w:rsid w:val="00B65E6B"/>
    <w:rsid w:val="00B675B2"/>
    <w:rsid w:val="00B81261"/>
    <w:rsid w:val="00B8223E"/>
    <w:rsid w:val="00B832AE"/>
    <w:rsid w:val="00B86678"/>
    <w:rsid w:val="00B92F9B"/>
    <w:rsid w:val="00B941B3"/>
    <w:rsid w:val="00B96513"/>
    <w:rsid w:val="00B968DA"/>
    <w:rsid w:val="00BA1D47"/>
    <w:rsid w:val="00BA66F0"/>
    <w:rsid w:val="00BB2239"/>
    <w:rsid w:val="00BB2AE7"/>
    <w:rsid w:val="00BB6464"/>
    <w:rsid w:val="00BC1BB8"/>
    <w:rsid w:val="00BD4053"/>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55876"/>
    <w:rsid w:val="00D71D84"/>
    <w:rsid w:val="00D72464"/>
    <w:rsid w:val="00D72A57"/>
    <w:rsid w:val="00D768EB"/>
    <w:rsid w:val="00D81E17"/>
    <w:rsid w:val="00D82D1E"/>
    <w:rsid w:val="00D832D9"/>
    <w:rsid w:val="00D90F00"/>
    <w:rsid w:val="00D96804"/>
    <w:rsid w:val="00D975C0"/>
    <w:rsid w:val="00DA5285"/>
    <w:rsid w:val="00DB191D"/>
    <w:rsid w:val="00DB3CA1"/>
    <w:rsid w:val="00DB4F91"/>
    <w:rsid w:val="00DB6D0A"/>
    <w:rsid w:val="00DC06BE"/>
    <w:rsid w:val="00DC1F0F"/>
    <w:rsid w:val="00DC3117"/>
    <w:rsid w:val="00DC4E2A"/>
    <w:rsid w:val="00DC5DD9"/>
    <w:rsid w:val="00DC6D2D"/>
    <w:rsid w:val="00DD4E59"/>
    <w:rsid w:val="00DE33B5"/>
    <w:rsid w:val="00DE3973"/>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447"/>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2BA2"/>
    <w:rsid w:val="00F5696E"/>
    <w:rsid w:val="00F60EFF"/>
    <w:rsid w:val="00F67D2D"/>
    <w:rsid w:val="00F858F2"/>
    <w:rsid w:val="00F860CC"/>
    <w:rsid w:val="00F94398"/>
    <w:rsid w:val="00FA6B5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695349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ability.wa.gov.au" TargetMode="External"/><Relationship Id="rId18" Type="http://schemas.openxmlformats.org/officeDocument/2006/relationships/image" Target="cid:image001.jpg@01D658ED.D030F090" TargetMode="External"/><Relationship Id="rId26" Type="http://schemas.openxmlformats.org/officeDocument/2006/relationships/image" Target="cid:image005.jpg@01D658ED.D030F090"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ealth.act.gov.au"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ealth.qld.gov.au/mass" TargetMode="External"/><Relationship Id="rId20" Type="http://schemas.openxmlformats.org/officeDocument/2006/relationships/image" Target="cid:image002.jpg@01D658ED.D030F090"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p.bhs.org.au" TargetMode="External"/><Relationship Id="rId24" Type="http://schemas.openxmlformats.org/officeDocument/2006/relationships/image" Target="cid:image004.jpg@01D658ED.D030F090" TargetMode="External"/><Relationship Id="rId32" Type="http://schemas.openxmlformats.org/officeDocument/2006/relationships/image" Target="cid:image008.jpg@01D658ED.D030F09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gov.au" TargetMode="External"/><Relationship Id="rId23" Type="http://schemas.openxmlformats.org/officeDocument/2006/relationships/image" Target="media/image4.jpeg"/><Relationship Id="rId28" Type="http://schemas.openxmlformats.org/officeDocument/2006/relationships/image" Target="cid:image006.jpg@01D658ED.D030F090" TargetMode="External"/><Relationship Id="rId36" Type="http://schemas.openxmlformats.org/officeDocument/2006/relationships/footer" Target="footer2.xml"/><Relationship Id="rId10" Type="http://schemas.openxmlformats.org/officeDocument/2006/relationships/hyperlink" Target="http://www.enable.health.nsw.gov.au" TargetMode="Externa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styles" Target="styles.xml"/><Relationship Id="rId9" Type="http://schemas.openxmlformats.org/officeDocument/2006/relationships/hyperlink" Target="mailto:TopEndIntake.THS@nt.gov.au" TargetMode="External"/><Relationship Id="rId14" Type="http://schemas.openxmlformats.org/officeDocument/2006/relationships/hyperlink" Target="http://www.concessions.tas.gov.au" TargetMode="External"/><Relationship Id="rId22" Type="http://schemas.openxmlformats.org/officeDocument/2006/relationships/image" Target="cid:image003.jpg@01D658ED.D030F090" TargetMode="External"/><Relationship Id="rId27" Type="http://schemas.openxmlformats.org/officeDocument/2006/relationships/image" Target="media/image6.jpeg"/><Relationship Id="rId30" Type="http://schemas.openxmlformats.org/officeDocument/2006/relationships/image" Target="cid:image007.jpg@01D658ED.D030F090"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13334-61F9-42E5-920D-897E1297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Professional Criteria for Approved Prescribers within the Territory Equipment Program (AP-1)</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Criteria for Approved Prescribers within the Territory Equipment Program (AP-1)</dc:title>
  <dc:subject/>
  <dc:creator>Northern Territory Government</dc:creator>
  <cp:keywords/>
  <dc:description/>
  <cp:lastModifiedBy/>
  <cp:revision>1</cp:revision>
  <dcterms:created xsi:type="dcterms:W3CDTF">2022-08-24T00:40:00Z</dcterms:created>
  <dcterms:modified xsi:type="dcterms:W3CDTF">2022-08-24T03:10:00Z</dcterms:modified>
</cp:coreProperties>
</file>