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0D24" w:rsidRPr="00520D24" w14:paraId="0A84C005" w14:textId="77777777" w:rsidTr="0058230D">
        <w:trPr>
          <w:trHeight w:val="20"/>
        </w:trPr>
        <w:tc>
          <w:tcPr>
            <w:tcW w:w="9629" w:type="dxa"/>
          </w:tcPr>
          <w:p w14:paraId="59B1B32E" w14:textId="77777777" w:rsidR="00520D24" w:rsidRPr="004A3175" w:rsidRDefault="00520D24" w:rsidP="004A3175">
            <w:pPr>
              <w:rPr>
                <w:b/>
              </w:rPr>
            </w:pPr>
            <w:bookmarkStart w:id="0" w:name="_GoBack"/>
            <w:bookmarkEnd w:id="0"/>
            <w:r w:rsidRPr="004A3175">
              <w:rPr>
                <w:b/>
              </w:rPr>
              <w:t>Accessories</w:t>
            </w:r>
          </w:p>
          <w:p w14:paraId="1133C7CD" w14:textId="55993FC8" w:rsidR="00520D24" w:rsidRPr="00520D24" w:rsidRDefault="00520D24" w:rsidP="00E4682D">
            <w:r w:rsidRPr="00520D24">
              <w:t>Supplementary</w:t>
            </w:r>
            <w:r w:rsidRPr="00520D24">
              <w:rPr>
                <w:bCs/>
              </w:rPr>
              <w:t> </w:t>
            </w:r>
            <w:r w:rsidRPr="00520D24">
              <w:t xml:space="preserve">items for equipment not required to meet the functional need of the client as assessed by the Approved prescriber </w:t>
            </w:r>
            <w:r w:rsidR="00D46C34" w:rsidRPr="00520D24">
              <w:t>e.g.</w:t>
            </w:r>
            <w:r w:rsidRPr="00520D24">
              <w:t xml:space="preserve"> a rain cover, a bell or a cup holder.</w:t>
            </w:r>
          </w:p>
        </w:tc>
      </w:tr>
      <w:tr w:rsidR="00520D24" w:rsidRPr="00520D24" w14:paraId="770D8EE1" w14:textId="77777777" w:rsidTr="0058230D">
        <w:trPr>
          <w:trHeight w:val="900"/>
        </w:trPr>
        <w:tc>
          <w:tcPr>
            <w:tcW w:w="9629" w:type="dxa"/>
          </w:tcPr>
          <w:p w14:paraId="21C72A4E" w14:textId="77777777" w:rsidR="00520D24" w:rsidRPr="00D46C34" w:rsidRDefault="00520D24" w:rsidP="004A3175">
            <w:pPr>
              <w:rPr>
                <w:b/>
              </w:rPr>
            </w:pPr>
            <w:r w:rsidRPr="00D46C34">
              <w:rPr>
                <w:b/>
              </w:rPr>
              <w:t>Adjustment</w:t>
            </w:r>
          </w:p>
          <w:p w14:paraId="70AEA56F" w14:textId="77777777" w:rsidR="00520D24" w:rsidRPr="00D46C34" w:rsidRDefault="00520D24" w:rsidP="00E4682D">
            <w:r w:rsidRPr="00D46C34">
              <w:t>C</w:t>
            </w:r>
            <w:hyperlink r:id="rId7" w:history="1">
              <w:r w:rsidRPr="00D46C34">
                <w:rPr>
                  <w:rStyle w:val="Hyperlink"/>
                  <w:color w:val="auto"/>
                  <w:u w:val="none"/>
                </w:rPr>
                <w:t>hange</w:t>
              </w:r>
            </w:hyperlink>
            <w:r w:rsidRPr="00D46C34">
              <w:t xml:space="preserve"> that does not affect the basic </w:t>
            </w:r>
            <w:hyperlink r:id="rId8" w:history="1">
              <w:r w:rsidRPr="00D46C34">
                <w:rPr>
                  <w:rStyle w:val="Hyperlink"/>
                  <w:color w:val="auto"/>
                  <w:u w:val="none"/>
                </w:rPr>
                <w:t>character</w:t>
              </w:r>
            </w:hyperlink>
            <w:r w:rsidRPr="00D46C34">
              <w:t xml:space="preserve"> or </w:t>
            </w:r>
            <w:hyperlink r:id="rId9" w:history="1">
              <w:r w:rsidRPr="00D46C34">
                <w:rPr>
                  <w:rStyle w:val="Hyperlink"/>
                  <w:color w:val="auto"/>
                  <w:u w:val="none"/>
                </w:rPr>
                <w:t>structure</w:t>
              </w:r>
            </w:hyperlink>
            <w:r w:rsidRPr="00D46C34">
              <w:t xml:space="preserve"> of the item it is applied to.</w:t>
            </w:r>
          </w:p>
        </w:tc>
      </w:tr>
      <w:tr w:rsidR="00520D24" w:rsidRPr="00520D24" w14:paraId="52C5726D" w14:textId="77777777" w:rsidTr="0058230D">
        <w:trPr>
          <w:trHeight w:val="1268"/>
        </w:trPr>
        <w:tc>
          <w:tcPr>
            <w:tcW w:w="9629" w:type="dxa"/>
          </w:tcPr>
          <w:p w14:paraId="5E2F3BCE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 xml:space="preserve">Approved Prescriber </w:t>
            </w:r>
          </w:p>
          <w:p w14:paraId="55164798" w14:textId="5BE819E1" w:rsidR="00520D24" w:rsidRPr="00520D24" w:rsidRDefault="00520D24" w:rsidP="005F3E1C">
            <w:r w:rsidRPr="00520D24">
              <w:t xml:space="preserve">An Allied Health Professional or Specialist Nurse registered with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>with prescribing rights according to professional qualification, experience and type of aid/equipment.</w:t>
            </w:r>
          </w:p>
        </w:tc>
      </w:tr>
      <w:tr w:rsidR="00520D24" w:rsidRPr="00520D24" w14:paraId="0D27B148" w14:textId="77777777" w:rsidTr="0058230D">
        <w:trPr>
          <w:trHeight w:val="20"/>
        </w:trPr>
        <w:tc>
          <w:tcPr>
            <w:tcW w:w="9629" w:type="dxa"/>
          </w:tcPr>
          <w:p w14:paraId="7BC3A220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>Beneficiaries of a full Centrelink Disability Support or Age Pension</w:t>
            </w:r>
          </w:p>
          <w:p w14:paraId="1B2FA05C" w14:textId="77777777" w:rsidR="00520D24" w:rsidRPr="00520D24" w:rsidRDefault="00520D24" w:rsidP="00E4682D">
            <w:r w:rsidRPr="00520D24">
              <w:t>Clients who are entitled to and receive the full Centrelink Disability Support Pension or full Centrelink Age Pension.</w:t>
            </w:r>
          </w:p>
        </w:tc>
      </w:tr>
      <w:tr w:rsidR="00520D24" w:rsidRPr="00520D24" w14:paraId="252E333F" w14:textId="77777777" w:rsidTr="0058230D">
        <w:trPr>
          <w:trHeight w:val="20"/>
        </w:trPr>
        <w:tc>
          <w:tcPr>
            <w:tcW w:w="9629" w:type="dxa"/>
          </w:tcPr>
          <w:p w14:paraId="46C8D20D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>Client</w:t>
            </w:r>
          </w:p>
          <w:p w14:paraId="212F0DB9" w14:textId="13DC719C" w:rsidR="00520D24" w:rsidRPr="00520D24" w:rsidRDefault="00520D24" w:rsidP="00C35D3F">
            <w:r w:rsidRPr="00520D24">
              <w:t>Reference to a</w:t>
            </w:r>
            <w:r w:rsidR="00C35D3F">
              <w:t xml:space="preserve"> ‘client’ means a person with an impairment </w:t>
            </w:r>
            <w:r w:rsidRPr="00520D24">
              <w:t>and includes the person’s family, guardian, or substitute decision maker, as and when appropriate.</w:t>
            </w:r>
          </w:p>
        </w:tc>
      </w:tr>
      <w:tr w:rsidR="00520D24" w:rsidRPr="00520D24" w14:paraId="35B664DF" w14:textId="77777777" w:rsidTr="0058230D">
        <w:trPr>
          <w:trHeight w:val="20"/>
        </w:trPr>
        <w:tc>
          <w:tcPr>
            <w:tcW w:w="9629" w:type="dxa"/>
          </w:tcPr>
          <w:p w14:paraId="7870C4D6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>Clinical Guideline</w:t>
            </w:r>
          </w:p>
          <w:p w14:paraId="193C347D" w14:textId="77777777" w:rsidR="00520D24" w:rsidRPr="00520D24" w:rsidRDefault="00520D24" w:rsidP="00E4682D">
            <w:r w:rsidRPr="00520D24">
              <w:t>Documented criteria for the prescription of each equipment type with the aim of guiding clinical decisions.</w:t>
            </w:r>
          </w:p>
        </w:tc>
      </w:tr>
      <w:tr w:rsidR="00520D24" w:rsidRPr="00520D24" w14:paraId="602262B2" w14:textId="77777777" w:rsidTr="0058230D">
        <w:trPr>
          <w:trHeight w:val="20"/>
        </w:trPr>
        <w:tc>
          <w:tcPr>
            <w:tcW w:w="9629" w:type="dxa"/>
          </w:tcPr>
          <w:p w14:paraId="3148811A" w14:textId="5DA9F434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 xml:space="preserve">Compensation in respect of the </w:t>
            </w:r>
            <w:r w:rsidR="00C35D3F">
              <w:rPr>
                <w:b/>
              </w:rPr>
              <w:t>impairment</w:t>
            </w:r>
            <w:r w:rsidRPr="004A3175">
              <w:rPr>
                <w:b/>
              </w:rPr>
              <w:t xml:space="preserve"> for which the equipment has been prescribed</w:t>
            </w:r>
          </w:p>
          <w:p w14:paraId="458D7DDD" w14:textId="1C693DAD" w:rsidR="00520D24" w:rsidRPr="00520D24" w:rsidRDefault="00520D24" w:rsidP="00C35D3F">
            <w:r w:rsidRPr="00520D24">
              <w:t xml:space="preserve">Applies to clients who have received compensation or damages to provide equipment in respect of their </w:t>
            </w:r>
            <w:r w:rsidR="00C35D3F">
              <w:t>impairment</w:t>
            </w:r>
            <w:r w:rsidRPr="00520D24">
              <w:t xml:space="preserve">.  If an applicant receives settlement after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 xml:space="preserve">has provided equipment, monies are to be reimbursed to </w:t>
            </w:r>
            <w:r w:rsidR="005F3E1C">
              <w:t>TEP</w:t>
            </w:r>
            <w:r w:rsidRPr="00520D24">
              <w:t>.</w:t>
            </w:r>
          </w:p>
        </w:tc>
      </w:tr>
      <w:tr w:rsidR="00520D24" w:rsidRPr="00520D24" w14:paraId="655CB57B" w14:textId="77777777" w:rsidTr="0058230D">
        <w:trPr>
          <w:trHeight w:val="20"/>
        </w:trPr>
        <w:tc>
          <w:tcPr>
            <w:tcW w:w="9629" w:type="dxa"/>
          </w:tcPr>
          <w:p w14:paraId="22313795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 xml:space="preserve">Consultation </w:t>
            </w:r>
          </w:p>
          <w:p w14:paraId="552E1EB4" w14:textId="77777777" w:rsidR="00520D24" w:rsidRPr="00520D24" w:rsidRDefault="00520D24" w:rsidP="00E4682D">
            <w:r w:rsidRPr="00520D24">
              <w:t>The act of referring to an Equipment Specialist for information, opinion or advice.</w:t>
            </w:r>
          </w:p>
        </w:tc>
      </w:tr>
      <w:tr w:rsidR="00520D24" w:rsidRPr="00520D24" w14:paraId="0C6C479E" w14:textId="77777777" w:rsidTr="0058230D">
        <w:trPr>
          <w:trHeight w:val="20"/>
        </w:trPr>
        <w:tc>
          <w:tcPr>
            <w:tcW w:w="9629" w:type="dxa"/>
          </w:tcPr>
          <w:p w14:paraId="30AB2493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>Contractor</w:t>
            </w:r>
          </w:p>
          <w:p w14:paraId="30A6DCAB" w14:textId="77777777" w:rsidR="00520D24" w:rsidRPr="00520D24" w:rsidRDefault="00520D24" w:rsidP="00E4682D">
            <w:r w:rsidRPr="00520D24">
              <w:t>A designated provider of a service that is contracted to provide the service.</w:t>
            </w:r>
          </w:p>
        </w:tc>
      </w:tr>
      <w:tr w:rsidR="00520D24" w:rsidRPr="00520D24" w14:paraId="1DFA8749" w14:textId="77777777" w:rsidTr="0058230D">
        <w:trPr>
          <w:trHeight w:val="20"/>
        </w:trPr>
        <w:tc>
          <w:tcPr>
            <w:tcW w:w="9629" w:type="dxa"/>
          </w:tcPr>
          <w:p w14:paraId="3104346B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>Customisation</w:t>
            </w:r>
          </w:p>
          <w:p w14:paraId="7823C1B2" w14:textId="77777777" w:rsidR="00520D24" w:rsidRDefault="00520D24" w:rsidP="00E4682D">
            <w:r w:rsidRPr="00520D24">
              <w:t>Assembly or adaptation of an existing item, by a person who is not the manufacturer, for an individual client.  Customisation may change the character or structure of the item but does not change the intended purpose.</w:t>
            </w:r>
          </w:p>
          <w:p w14:paraId="095BB34F" w14:textId="72350C3F" w:rsidR="00C35D3F" w:rsidRPr="00520D24" w:rsidRDefault="00C35D3F" w:rsidP="00E4682D"/>
        </w:tc>
      </w:tr>
      <w:tr w:rsidR="00520D24" w:rsidRPr="00520D24" w14:paraId="3E3ADEB7" w14:textId="77777777" w:rsidTr="0058230D">
        <w:trPr>
          <w:trHeight w:val="20"/>
        </w:trPr>
        <w:tc>
          <w:tcPr>
            <w:tcW w:w="9629" w:type="dxa"/>
          </w:tcPr>
          <w:p w14:paraId="2F24CE18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t>Custom</w:t>
            </w:r>
            <w:r w:rsidR="00D531A5" w:rsidRPr="004A3175">
              <w:rPr>
                <w:b/>
              </w:rPr>
              <w:t xml:space="preserve"> Made</w:t>
            </w:r>
          </w:p>
          <w:p w14:paraId="320328A4" w14:textId="77777777" w:rsidR="00520D24" w:rsidRPr="00520D24" w:rsidRDefault="00520D24" w:rsidP="00E4682D">
            <w:r w:rsidRPr="00520D24">
              <w:lastRenderedPageBreak/>
              <w:t>Production of an item to specific design characteristics from a prescription for an individual client.</w:t>
            </w:r>
          </w:p>
        </w:tc>
      </w:tr>
      <w:tr w:rsidR="00520D24" w:rsidRPr="00520D24" w14:paraId="00EDB168" w14:textId="77777777" w:rsidTr="0058230D">
        <w:trPr>
          <w:trHeight w:val="20"/>
        </w:trPr>
        <w:tc>
          <w:tcPr>
            <w:tcW w:w="9629" w:type="dxa"/>
          </w:tcPr>
          <w:p w14:paraId="737EE2BA" w14:textId="77777777" w:rsidR="00520D24" w:rsidRPr="004A3175" w:rsidRDefault="00520D24" w:rsidP="004A3175">
            <w:pPr>
              <w:rPr>
                <w:b/>
              </w:rPr>
            </w:pPr>
            <w:r w:rsidRPr="004A3175">
              <w:rPr>
                <w:b/>
              </w:rPr>
              <w:lastRenderedPageBreak/>
              <w:t>Cyclical Maintenance</w:t>
            </w:r>
          </w:p>
          <w:p w14:paraId="65CCE803" w14:textId="77777777" w:rsidR="00520D24" w:rsidRPr="00520D24" w:rsidRDefault="00520D24" w:rsidP="00E4682D">
            <w:r w:rsidRPr="00520D24">
              <w:t xml:space="preserve">Activities undertaken on a </w:t>
            </w:r>
            <w:r w:rsidRPr="00D46C34">
              <w:t xml:space="preserve">recurrent basis to conserve the </w:t>
            </w:r>
            <w:hyperlink r:id="rId10" w:history="1">
              <w:r w:rsidRPr="00D46C34">
                <w:rPr>
                  <w:rStyle w:val="Hyperlink"/>
                  <w:color w:val="auto"/>
                  <w:u w:val="none"/>
                </w:rPr>
                <w:t>condition</w:t>
              </w:r>
            </w:hyperlink>
            <w:r w:rsidRPr="00D46C34">
              <w:t xml:space="preserve"> of equipment while compensating for normal </w:t>
            </w:r>
            <w:hyperlink r:id="rId11" w:history="1">
              <w:r w:rsidRPr="00D46C34">
                <w:rPr>
                  <w:rStyle w:val="Hyperlink"/>
                  <w:color w:val="auto"/>
                  <w:u w:val="none"/>
                </w:rPr>
                <w:t>wear and tear</w:t>
              </w:r>
            </w:hyperlink>
            <w:r w:rsidRPr="00D46C34">
              <w:t>.</w:t>
            </w:r>
          </w:p>
        </w:tc>
      </w:tr>
      <w:tr w:rsidR="00520D24" w:rsidRPr="00520D24" w14:paraId="449C2CC4" w14:textId="77777777" w:rsidTr="0058230D">
        <w:trPr>
          <w:trHeight w:val="20"/>
        </w:trPr>
        <w:tc>
          <w:tcPr>
            <w:tcW w:w="9629" w:type="dxa"/>
          </w:tcPr>
          <w:p w14:paraId="39BB8EFD" w14:textId="618BA33D" w:rsidR="00520D24" w:rsidRPr="004A3175" w:rsidRDefault="005F3E1C" w:rsidP="004A3175">
            <w:pPr>
              <w:rPr>
                <w:b/>
              </w:rPr>
            </w:pPr>
            <w:r>
              <w:rPr>
                <w:b/>
              </w:rPr>
              <w:t>TEP</w:t>
            </w:r>
            <w:r w:rsidRPr="004A3175">
              <w:rPr>
                <w:b/>
              </w:rPr>
              <w:t xml:space="preserve"> </w:t>
            </w:r>
            <w:r w:rsidR="00520D24" w:rsidRPr="004A3175">
              <w:rPr>
                <w:b/>
              </w:rPr>
              <w:t>Approved Equipment List</w:t>
            </w:r>
          </w:p>
          <w:p w14:paraId="6B696031" w14:textId="77777777" w:rsidR="00520D24" w:rsidRPr="00520D24" w:rsidRDefault="00520D24" w:rsidP="00E4682D">
            <w:r w:rsidRPr="00520D24">
              <w:t>A list of specified aids and equipment each having clinical guidelines and conditions for prescription.</w:t>
            </w:r>
          </w:p>
        </w:tc>
      </w:tr>
      <w:tr w:rsidR="00520D24" w:rsidRPr="00520D24" w14:paraId="5B5DBBD2" w14:textId="77777777" w:rsidTr="0058230D">
        <w:trPr>
          <w:trHeight w:val="20"/>
        </w:trPr>
        <w:tc>
          <w:tcPr>
            <w:tcW w:w="9629" w:type="dxa"/>
          </w:tcPr>
          <w:p w14:paraId="38148D5E" w14:textId="68515E09" w:rsidR="00520D24" w:rsidRPr="004A3175" w:rsidRDefault="005F3E1C" w:rsidP="004A3175">
            <w:pPr>
              <w:rPr>
                <w:b/>
              </w:rPr>
            </w:pPr>
            <w:r>
              <w:rPr>
                <w:b/>
              </w:rPr>
              <w:t>TEP</w:t>
            </w:r>
            <w:r w:rsidRPr="004A3175">
              <w:rPr>
                <w:b/>
              </w:rPr>
              <w:t xml:space="preserve"> </w:t>
            </w:r>
            <w:r w:rsidR="00520D24" w:rsidRPr="004A3175">
              <w:rPr>
                <w:b/>
              </w:rPr>
              <w:t xml:space="preserve">Work Unit </w:t>
            </w:r>
          </w:p>
          <w:p w14:paraId="07802D7D" w14:textId="149180F9" w:rsidR="00520D24" w:rsidRPr="00520D24" w:rsidRDefault="00520D24" w:rsidP="005F3E1C">
            <w:r w:rsidRPr="00520D24">
              <w:t xml:space="preserve">Regional teams of management and administration staff responsible for the day to day management of the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>program in that region.</w:t>
            </w:r>
          </w:p>
        </w:tc>
      </w:tr>
      <w:tr w:rsidR="00520D24" w:rsidRPr="00520D24" w14:paraId="63A99940" w14:textId="77777777" w:rsidTr="0058230D">
        <w:trPr>
          <w:trHeight w:val="20"/>
        </w:trPr>
        <w:tc>
          <w:tcPr>
            <w:tcW w:w="9629" w:type="dxa"/>
          </w:tcPr>
          <w:p w14:paraId="6A464294" w14:textId="1EB5BA0C" w:rsidR="005F3E1C" w:rsidRDefault="005F3E1C" w:rsidP="004A3175">
            <w:pPr>
              <w:rPr>
                <w:b/>
              </w:rPr>
            </w:pPr>
            <w:r>
              <w:rPr>
                <w:b/>
              </w:rPr>
              <w:t xml:space="preserve">Functional impairment </w:t>
            </w:r>
          </w:p>
          <w:p w14:paraId="7D20855F" w14:textId="127D361C" w:rsidR="00520D24" w:rsidRPr="00520D24" w:rsidRDefault="005F3E1C" w:rsidP="00D46C34">
            <w:r w:rsidRPr="00D46C34">
              <w:t xml:space="preserve">For the purpose of TEP, functional impairment refers to people who have difficulty </w:t>
            </w:r>
            <w:r w:rsidR="0058230D" w:rsidRPr="00D46C34">
              <w:t>performing</w:t>
            </w:r>
            <w:r w:rsidRPr="00D46C34">
              <w:t xml:space="preserve"> activities of daily living without help </w:t>
            </w:r>
            <w:r w:rsidR="008A21BA">
              <w:t>due to functional limitations (</w:t>
            </w:r>
            <w:r w:rsidRPr="00D46C34">
              <w:t xml:space="preserve">for example communications, social interaction, mobility or </w:t>
            </w:r>
            <w:r w:rsidR="00433F30" w:rsidRPr="00D46C34">
              <w:t>self</w:t>
            </w:r>
            <w:r w:rsidR="008A21BA">
              <w:t>–care</w:t>
            </w:r>
            <w:r w:rsidRPr="00D46C34">
              <w:t xml:space="preserve">). </w:t>
            </w:r>
          </w:p>
        </w:tc>
      </w:tr>
      <w:tr w:rsidR="004A3175" w:rsidRPr="00520D24" w14:paraId="0B37A14B" w14:textId="77777777" w:rsidTr="0058230D">
        <w:trPr>
          <w:trHeight w:val="20"/>
        </w:trPr>
        <w:tc>
          <w:tcPr>
            <w:tcW w:w="9629" w:type="dxa"/>
          </w:tcPr>
          <w:p w14:paraId="7C69234F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>Emergency Breakdown Repair</w:t>
            </w:r>
          </w:p>
          <w:p w14:paraId="687C7F97" w14:textId="23D9FFD5" w:rsidR="004A3175" w:rsidRPr="00520D24" w:rsidRDefault="004A3175" w:rsidP="00E4682D">
            <w:r w:rsidRPr="00520D24">
              <w:t xml:space="preserve">Repair works of an emergency nature required to ensure continued use of essential equipment </w:t>
            </w:r>
            <w:r w:rsidR="00433F30" w:rsidRPr="00520D24">
              <w:t>e.g.</w:t>
            </w:r>
            <w:r w:rsidRPr="00520D24">
              <w:t xml:space="preserve"> </w:t>
            </w:r>
            <w:r w:rsidR="00433F30" w:rsidRPr="00520D24">
              <w:t>Repair</w:t>
            </w:r>
            <w:r w:rsidRPr="00520D24">
              <w:t xml:space="preserve"> of an item essential for client safety in their home.</w:t>
            </w:r>
          </w:p>
        </w:tc>
      </w:tr>
      <w:tr w:rsidR="004A3175" w:rsidRPr="00520D24" w14:paraId="717B69E2" w14:textId="77777777" w:rsidTr="0058230D">
        <w:trPr>
          <w:trHeight w:val="20"/>
        </w:trPr>
        <w:tc>
          <w:tcPr>
            <w:tcW w:w="9629" w:type="dxa"/>
          </w:tcPr>
          <w:p w14:paraId="70338120" w14:textId="77777777" w:rsidR="004A3175" w:rsidRPr="004A3175" w:rsidRDefault="004A3175" w:rsidP="004A3175">
            <w:pPr>
              <w:spacing w:before="240"/>
              <w:rPr>
                <w:b/>
              </w:rPr>
            </w:pPr>
            <w:r w:rsidRPr="004A3175">
              <w:rPr>
                <w:b/>
              </w:rPr>
              <w:t xml:space="preserve">Equipment Specialist </w:t>
            </w:r>
          </w:p>
          <w:p w14:paraId="02EDA263" w14:textId="590C20D0" w:rsidR="004A3175" w:rsidRPr="00520D24" w:rsidRDefault="004A3175" w:rsidP="005F3E1C">
            <w:r w:rsidRPr="00520D24">
              <w:t xml:space="preserve">A person or service that provides consultation to clients and/or prescribing therapists with regard to equipment </w:t>
            </w:r>
            <w:r w:rsidR="00D46C34" w:rsidRPr="00520D24">
              <w:t>e.g.</w:t>
            </w:r>
            <w:r w:rsidRPr="00520D24">
              <w:t xml:space="preserve"> </w:t>
            </w:r>
            <w:r w:rsidR="005F3E1C">
              <w:t>TEP</w:t>
            </w:r>
            <w:r w:rsidRPr="00520D24">
              <w:t>/SEAT Clinical Leader.</w:t>
            </w:r>
          </w:p>
        </w:tc>
      </w:tr>
      <w:tr w:rsidR="004A3175" w:rsidRPr="00520D24" w14:paraId="5481BE69" w14:textId="77777777" w:rsidTr="0058230D">
        <w:trPr>
          <w:trHeight w:val="20"/>
        </w:trPr>
        <w:tc>
          <w:tcPr>
            <w:tcW w:w="9629" w:type="dxa"/>
          </w:tcPr>
          <w:p w14:paraId="2699EC9B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>Level 1 General Equipment</w:t>
            </w:r>
          </w:p>
          <w:p w14:paraId="7A16B745" w14:textId="77777777" w:rsidR="004A3175" w:rsidRPr="00520D24" w:rsidRDefault="004A3175" w:rsidP="00E4682D">
            <w:r w:rsidRPr="00520D24">
              <w:t>Items that are simple to set-up and use, not custom made, frequently prescribed, stand alone and are not integrated with other equipment.</w:t>
            </w:r>
          </w:p>
        </w:tc>
      </w:tr>
      <w:tr w:rsidR="004A3175" w:rsidRPr="00520D24" w14:paraId="66690CFE" w14:textId="77777777" w:rsidTr="0058230D">
        <w:trPr>
          <w:trHeight w:val="20"/>
        </w:trPr>
        <w:tc>
          <w:tcPr>
            <w:tcW w:w="9629" w:type="dxa"/>
          </w:tcPr>
          <w:p w14:paraId="1072B52A" w14:textId="77777777" w:rsidR="004A3175" w:rsidRPr="004A3175" w:rsidRDefault="004A3175" w:rsidP="004A3175">
            <w:pPr>
              <w:spacing w:before="240"/>
              <w:rPr>
                <w:b/>
              </w:rPr>
            </w:pPr>
            <w:r w:rsidRPr="004A3175">
              <w:rPr>
                <w:b/>
              </w:rPr>
              <w:t xml:space="preserve">Level 2 General Equipment </w:t>
            </w:r>
          </w:p>
          <w:p w14:paraId="1B9CB8C5" w14:textId="5E8D61D0" w:rsidR="004A3175" w:rsidRPr="00520D24" w:rsidRDefault="004A3175" w:rsidP="00E4682D">
            <w:r w:rsidRPr="00520D24">
              <w:t>Items that are complex to set up and re</w:t>
            </w:r>
            <w:r w:rsidR="008A21BA">
              <w:t>quire training to use safely;</w:t>
            </w:r>
            <w:r w:rsidRPr="00520D24">
              <w:t xml:space="preserve"> may have potential adverse outcome for a client/carer/attendant care worker if not prescri</w:t>
            </w:r>
            <w:r w:rsidR="008A21BA">
              <w:t>bed or used appropriately; are Custom made; are infrequently prescribed, or are integrated or interface</w:t>
            </w:r>
            <w:r w:rsidRPr="00520D24">
              <w:t xml:space="preserve"> with other equipment.</w:t>
            </w:r>
          </w:p>
        </w:tc>
      </w:tr>
      <w:tr w:rsidR="004A3175" w:rsidRPr="00520D24" w14:paraId="49833DDE" w14:textId="77777777" w:rsidTr="0058230D">
        <w:trPr>
          <w:trHeight w:val="20"/>
        </w:trPr>
        <w:tc>
          <w:tcPr>
            <w:tcW w:w="9629" w:type="dxa"/>
          </w:tcPr>
          <w:p w14:paraId="67246BA6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>Level 2 Seating Equipment</w:t>
            </w:r>
          </w:p>
          <w:p w14:paraId="7B42B769" w14:textId="77777777" w:rsidR="004A3175" w:rsidRPr="00520D24" w:rsidRDefault="004A3175" w:rsidP="00E4682D">
            <w:r w:rsidRPr="00520D24">
              <w:t>Items that consist of several component pieces of equipment that must integrate to achieve the goal for the client; or due to the risk to the client the skills of a specialised seating clinician are required to prescribe accurately.</w:t>
            </w:r>
          </w:p>
        </w:tc>
      </w:tr>
      <w:tr w:rsidR="004A3175" w:rsidRPr="00520D24" w14:paraId="0ED1EDC4" w14:textId="77777777" w:rsidTr="0058230D">
        <w:trPr>
          <w:trHeight w:val="20"/>
        </w:trPr>
        <w:tc>
          <w:tcPr>
            <w:tcW w:w="9629" w:type="dxa"/>
          </w:tcPr>
          <w:p w14:paraId="4AE937E7" w14:textId="77777777" w:rsidR="004A3175" w:rsidRPr="004A3175" w:rsidRDefault="004A3175" w:rsidP="004A3175">
            <w:pPr>
              <w:spacing w:before="240"/>
              <w:rPr>
                <w:b/>
              </w:rPr>
            </w:pPr>
            <w:r w:rsidRPr="004A3175">
              <w:rPr>
                <w:b/>
              </w:rPr>
              <w:t>Living in or returning to the community</w:t>
            </w:r>
          </w:p>
          <w:p w14:paraId="701272FB" w14:textId="7F17CBB8" w:rsidR="004A3175" w:rsidRPr="00520D24" w:rsidRDefault="004A3175" w:rsidP="005F3E1C">
            <w:r w:rsidRPr="00520D24">
              <w:t xml:space="preserve">Clients that reside in individual dwellings, group homes or are residents of Aged Care facilities.  Hospital in-patients being discharged back to the community may receive assistance if they meet the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 xml:space="preserve">eligibility criteria. 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 xml:space="preserve">applications may be submitted prior to discharge to facilitate equipment availability upon discharge. </w:t>
            </w:r>
          </w:p>
        </w:tc>
      </w:tr>
      <w:tr w:rsidR="004A3175" w:rsidRPr="00520D24" w14:paraId="76F8FD13" w14:textId="77777777" w:rsidTr="0058230D">
        <w:trPr>
          <w:trHeight w:val="20"/>
        </w:trPr>
        <w:tc>
          <w:tcPr>
            <w:tcW w:w="9629" w:type="dxa"/>
          </w:tcPr>
          <w:p w14:paraId="269B1EF1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lastRenderedPageBreak/>
              <w:t>Modification</w:t>
            </w:r>
          </w:p>
          <w:p w14:paraId="27FED9DF" w14:textId="48822D1D" w:rsidR="004A3175" w:rsidRPr="00520D24" w:rsidRDefault="004A3175" w:rsidP="00E4682D">
            <w:r w:rsidRPr="00520D24">
              <w:t>Change that adapts or restricts an existing item to a new end or purpose for grea</w:t>
            </w:r>
            <w:r w:rsidR="006E3173">
              <w:t>ter functionality or appeal. A m</w:t>
            </w:r>
            <w:r w:rsidRPr="00520D24">
              <w:t xml:space="preserve">odification may include a change to an item’s shape, adding </w:t>
            </w:r>
            <w:r w:rsidRPr="00D46C34">
              <w:t xml:space="preserve">a </w:t>
            </w:r>
            <w:hyperlink r:id="rId12" w:history="1">
              <w:r w:rsidRPr="00D46C34">
                <w:rPr>
                  <w:rStyle w:val="Hyperlink"/>
                  <w:color w:val="auto"/>
                  <w:u w:val="none"/>
                </w:rPr>
                <w:t>feature</w:t>
              </w:r>
            </w:hyperlink>
            <w:r w:rsidRPr="00D46C34">
              <w:t xml:space="preserve"> or improving its </w:t>
            </w:r>
            <w:hyperlink r:id="rId13" w:history="1">
              <w:r w:rsidRPr="00D46C34">
                <w:rPr>
                  <w:rStyle w:val="Hyperlink"/>
                  <w:color w:val="auto"/>
                  <w:u w:val="none"/>
                </w:rPr>
                <w:t>performance</w:t>
              </w:r>
            </w:hyperlink>
            <w:r w:rsidRPr="00D46C34">
              <w:t>.</w:t>
            </w:r>
          </w:p>
        </w:tc>
      </w:tr>
      <w:tr w:rsidR="004A3175" w:rsidRPr="00520D24" w14:paraId="59787EBC" w14:textId="77777777" w:rsidTr="0058230D">
        <w:trPr>
          <w:trHeight w:val="20"/>
        </w:trPr>
        <w:tc>
          <w:tcPr>
            <w:tcW w:w="9629" w:type="dxa"/>
          </w:tcPr>
          <w:p w14:paraId="4911C387" w14:textId="77777777" w:rsidR="004A3175" w:rsidRPr="004A3175" w:rsidRDefault="004A3175" w:rsidP="004A3175">
            <w:pPr>
              <w:spacing w:before="240"/>
              <w:rPr>
                <w:b/>
              </w:rPr>
            </w:pPr>
            <w:r w:rsidRPr="004A3175">
              <w:rPr>
                <w:b/>
              </w:rPr>
              <w:t xml:space="preserve">Modular </w:t>
            </w:r>
            <w:r w:rsidR="00D531A5" w:rsidRPr="004A3175">
              <w:rPr>
                <w:b/>
              </w:rPr>
              <w:t xml:space="preserve">Systems </w:t>
            </w:r>
            <w:r w:rsidRPr="004A3175">
              <w:rPr>
                <w:b/>
              </w:rPr>
              <w:t>(SEAT specific)</w:t>
            </w:r>
          </w:p>
          <w:p w14:paraId="4986F52C" w14:textId="77777777" w:rsidR="004A3175" w:rsidRPr="00520D24" w:rsidRDefault="004A3175" w:rsidP="00E4682D">
            <w:r w:rsidRPr="00520D24">
              <w:t>Wheelchairs and seating systems that are assembled from commercially available components intended for that use.</w:t>
            </w:r>
          </w:p>
        </w:tc>
      </w:tr>
      <w:tr w:rsidR="004A3175" w:rsidRPr="00520D24" w14:paraId="438B21F6" w14:textId="77777777" w:rsidTr="0058230D">
        <w:trPr>
          <w:trHeight w:val="1032"/>
        </w:trPr>
        <w:tc>
          <w:tcPr>
            <w:tcW w:w="9629" w:type="dxa"/>
          </w:tcPr>
          <w:p w14:paraId="7EA2E5C2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 xml:space="preserve">Non-Government Organisations (NGO)/Private </w:t>
            </w:r>
            <w:r w:rsidR="00D531A5" w:rsidRPr="004A3175">
              <w:rPr>
                <w:b/>
              </w:rPr>
              <w:t xml:space="preserve">Therapy Providers </w:t>
            </w:r>
            <w:r w:rsidRPr="004A3175">
              <w:rPr>
                <w:b/>
              </w:rPr>
              <w:t>(SEAT specific)</w:t>
            </w:r>
          </w:p>
          <w:p w14:paraId="4A554028" w14:textId="77777777" w:rsidR="004A3175" w:rsidRPr="004A3175" w:rsidRDefault="004A3175" w:rsidP="00E4682D">
            <w:pPr>
              <w:rPr>
                <w:b/>
              </w:rPr>
            </w:pPr>
            <w:r w:rsidRPr="00520D24">
              <w:t xml:space="preserve">Therapy providers not employed by the Northern Territory Government. </w:t>
            </w:r>
          </w:p>
        </w:tc>
      </w:tr>
      <w:tr w:rsidR="004A3175" w:rsidRPr="00520D24" w14:paraId="0364076A" w14:textId="77777777" w:rsidTr="0058230D">
        <w:trPr>
          <w:trHeight w:val="70"/>
        </w:trPr>
        <w:tc>
          <w:tcPr>
            <w:tcW w:w="9629" w:type="dxa"/>
          </w:tcPr>
          <w:p w14:paraId="4BA2B5A1" w14:textId="77777777" w:rsidR="004A3175" w:rsidRPr="004A3175" w:rsidRDefault="004A3175" w:rsidP="004A3175">
            <w:pPr>
              <w:spacing w:before="240"/>
              <w:rPr>
                <w:b/>
              </w:rPr>
            </w:pPr>
            <w:r w:rsidRPr="004A3175">
              <w:rPr>
                <w:b/>
              </w:rPr>
              <w:t>Optional</w:t>
            </w:r>
          </w:p>
          <w:p w14:paraId="3C1EC478" w14:textId="77777777" w:rsidR="004A3175" w:rsidRPr="004A3175" w:rsidRDefault="004A3175" w:rsidP="004A3175">
            <w:pPr>
              <w:rPr>
                <w:b/>
              </w:rPr>
            </w:pPr>
            <w:r w:rsidRPr="00520D24">
              <w:t>Desired by the client but not  required to meet the functional need of the client as assessed by the Approved Prescriber</w:t>
            </w:r>
          </w:p>
        </w:tc>
      </w:tr>
      <w:tr w:rsidR="004A3175" w:rsidRPr="00520D24" w14:paraId="2FF0AD4B" w14:textId="77777777" w:rsidTr="0058230D">
        <w:trPr>
          <w:trHeight w:val="245"/>
        </w:trPr>
        <w:tc>
          <w:tcPr>
            <w:tcW w:w="9629" w:type="dxa"/>
          </w:tcPr>
          <w:p w14:paraId="2F7D1C7D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 xml:space="preserve">Long </w:t>
            </w:r>
            <w:r w:rsidR="00D531A5" w:rsidRPr="004A3175">
              <w:rPr>
                <w:b/>
              </w:rPr>
              <w:t>Term Basis</w:t>
            </w:r>
          </w:p>
          <w:p w14:paraId="6DBABCFA" w14:textId="77777777" w:rsidR="004A3175" w:rsidRPr="004A3175" w:rsidRDefault="004A3175" w:rsidP="00E4682D">
            <w:pPr>
              <w:rPr>
                <w:b/>
              </w:rPr>
            </w:pPr>
            <w:r w:rsidRPr="00520D24">
              <w:t>Period of more than 12 months.</w:t>
            </w:r>
          </w:p>
        </w:tc>
      </w:tr>
      <w:tr w:rsidR="004A3175" w:rsidRPr="00520D24" w14:paraId="173347DE" w14:textId="77777777" w:rsidTr="0058230D">
        <w:trPr>
          <w:trHeight w:val="1930"/>
        </w:trPr>
        <w:tc>
          <w:tcPr>
            <w:tcW w:w="9629" w:type="dxa"/>
          </w:tcPr>
          <w:p w14:paraId="3F34F46E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 xml:space="preserve">Permanent </w:t>
            </w:r>
            <w:r w:rsidR="00D531A5" w:rsidRPr="004A3175">
              <w:rPr>
                <w:b/>
              </w:rPr>
              <w:t>Resident</w:t>
            </w:r>
          </w:p>
          <w:p w14:paraId="6D920629" w14:textId="77777777" w:rsidR="004A3175" w:rsidRPr="004A3175" w:rsidRDefault="004A3175" w:rsidP="00E4682D">
            <w:pPr>
              <w:rPr>
                <w:b/>
              </w:rPr>
            </w:pPr>
            <w:r w:rsidRPr="00520D24">
              <w:t>A person who resides in the Northern Territory and is able to verify their address.</w:t>
            </w:r>
          </w:p>
          <w:p w14:paraId="160349CF" w14:textId="4EEF5006" w:rsidR="004A3175" w:rsidRPr="004A3175" w:rsidRDefault="004A3175" w:rsidP="005F3E1C">
            <w:pPr>
              <w:rPr>
                <w:b/>
              </w:rPr>
            </w:pPr>
            <w:r w:rsidRPr="00520D24">
              <w:t xml:space="preserve">An address may be verified by production of a recent utility bill or current Northern Territory Drivers Licence, or for beneficiaries of a full Centrelink Disability Support or Age Pension, through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>verification processes.</w:t>
            </w:r>
          </w:p>
        </w:tc>
      </w:tr>
      <w:tr w:rsidR="004A3175" w:rsidRPr="00520D24" w14:paraId="047E338F" w14:textId="77777777" w:rsidTr="0058230D">
        <w:trPr>
          <w:trHeight w:val="100"/>
        </w:trPr>
        <w:tc>
          <w:tcPr>
            <w:tcW w:w="9629" w:type="dxa"/>
          </w:tcPr>
          <w:p w14:paraId="2558D5EF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>Referring/Treating Therapist  (SEAT specific)</w:t>
            </w:r>
          </w:p>
          <w:p w14:paraId="5C13F3D6" w14:textId="77777777" w:rsidR="004A3175" w:rsidRPr="004A3175" w:rsidRDefault="004A3175" w:rsidP="00E4682D">
            <w:pPr>
              <w:rPr>
                <w:b/>
              </w:rPr>
            </w:pPr>
            <w:r w:rsidRPr="00520D24">
              <w:t>A therapist who is working with a client and refers that client to the SEAT service.</w:t>
            </w:r>
          </w:p>
        </w:tc>
      </w:tr>
      <w:tr w:rsidR="004A3175" w:rsidRPr="00520D24" w14:paraId="5BD7B34B" w14:textId="77777777" w:rsidTr="0058230D">
        <w:trPr>
          <w:trHeight w:val="609"/>
        </w:trPr>
        <w:tc>
          <w:tcPr>
            <w:tcW w:w="9629" w:type="dxa"/>
          </w:tcPr>
          <w:p w14:paraId="788CAE1E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 xml:space="preserve">Re-issue </w:t>
            </w:r>
            <w:r w:rsidR="00D531A5" w:rsidRPr="004A3175">
              <w:rPr>
                <w:b/>
              </w:rPr>
              <w:t>Item</w:t>
            </w:r>
          </w:p>
          <w:p w14:paraId="4800A571" w14:textId="4DDDCB86" w:rsidR="004A3175" w:rsidRPr="004A3175" w:rsidRDefault="004A3175" w:rsidP="005F3E1C">
            <w:pPr>
              <w:rPr>
                <w:b/>
              </w:rPr>
            </w:pPr>
            <w:r w:rsidRPr="00520D24">
              <w:t xml:space="preserve">Item of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>equipment returned to stock and deemed suitable for client use.</w:t>
            </w:r>
          </w:p>
        </w:tc>
      </w:tr>
      <w:tr w:rsidR="004A3175" w:rsidRPr="00520D24" w14:paraId="6F4E6B48" w14:textId="77777777" w:rsidTr="0058230D">
        <w:trPr>
          <w:trHeight w:val="707"/>
        </w:trPr>
        <w:tc>
          <w:tcPr>
            <w:tcW w:w="9629" w:type="dxa"/>
          </w:tcPr>
          <w:p w14:paraId="7D063CE1" w14:textId="77777777" w:rsidR="004A3175" w:rsidRPr="00D46C34" w:rsidRDefault="004A3175" w:rsidP="004A3175">
            <w:pPr>
              <w:rPr>
                <w:b/>
              </w:rPr>
            </w:pPr>
            <w:r w:rsidRPr="00D46C34">
              <w:rPr>
                <w:b/>
              </w:rPr>
              <w:t>Repair (General)</w:t>
            </w:r>
          </w:p>
          <w:p w14:paraId="735A6E82" w14:textId="77777777" w:rsidR="004A3175" w:rsidRPr="004A3175" w:rsidRDefault="00897C88" w:rsidP="00E4682D">
            <w:pPr>
              <w:rPr>
                <w:b/>
              </w:rPr>
            </w:pPr>
            <w:hyperlink r:id="rId14" w:history="1">
              <w:r w:rsidR="004A3175" w:rsidRPr="00D46C34">
                <w:rPr>
                  <w:rStyle w:val="Hyperlink"/>
                  <w:color w:val="auto"/>
                  <w:u w:val="none"/>
                </w:rPr>
                <w:t>Restoration</w:t>
              </w:r>
            </w:hyperlink>
            <w:r w:rsidR="004A3175" w:rsidRPr="00D46C34">
              <w:t xml:space="preserve"> of a broken, damaged, or failed </w:t>
            </w:r>
            <w:hyperlink r:id="rId15" w:history="1">
              <w:r w:rsidR="004A3175" w:rsidRPr="00D46C34">
                <w:rPr>
                  <w:rStyle w:val="Hyperlink"/>
                  <w:color w:val="auto"/>
                  <w:u w:val="none"/>
                </w:rPr>
                <w:t>device</w:t>
              </w:r>
            </w:hyperlink>
            <w:r w:rsidR="004A3175" w:rsidRPr="00D46C34">
              <w:t xml:space="preserve">, equipment or part to an acceptable operating or usable </w:t>
            </w:r>
            <w:hyperlink r:id="rId16" w:history="1">
              <w:r w:rsidR="004A3175" w:rsidRPr="00D46C34">
                <w:rPr>
                  <w:rStyle w:val="Hyperlink"/>
                  <w:color w:val="auto"/>
                  <w:u w:val="none"/>
                </w:rPr>
                <w:t>condition</w:t>
              </w:r>
            </w:hyperlink>
            <w:r w:rsidR="004A3175" w:rsidRPr="00D46C34">
              <w:t xml:space="preserve"> or state to ensure continued functionality.  A repair is not likely to extend the normal life of the item.</w:t>
            </w:r>
          </w:p>
        </w:tc>
      </w:tr>
      <w:tr w:rsidR="004A3175" w:rsidRPr="00520D24" w14:paraId="50D4FBE2" w14:textId="77777777" w:rsidTr="0058230D">
        <w:trPr>
          <w:trHeight w:val="840"/>
        </w:trPr>
        <w:tc>
          <w:tcPr>
            <w:tcW w:w="9629" w:type="dxa"/>
          </w:tcPr>
          <w:p w14:paraId="2E76A550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>Repair and Maintenance (R&amp;M) Contractor</w:t>
            </w:r>
          </w:p>
          <w:p w14:paraId="18B0C728" w14:textId="2FCAC05C" w:rsidR="004A3175" w:rsidRPr="004A3175" w:rsidRDefault="004A3175" w:rsidP="005F3E1C">
            <w:pPr>
              <w:rPr>
                <w:b/>
              </w:rPr>
            </w:pPr>
            <w:r w:rsidRPr="00520D24">
              <w:t xml:space="preserve">The provider/s of repairs and maintenance to nominated equipment funded through </w:t>
            </w:r>
            <w:r w:rsidR="005F3E1C">
              <w:t>TEP</w:t>
            </w:r>
            <w:r w:rsidRPr="00520D24">
              <w:t>, Territory Palliative Care and a number of NT Hospitals.  The service area for R&amp;M Contractors varies regionally.</w:t>
            </w:r>
          </w:p>
        </w:tc>
      </w:tr>
      <w:tr w:rsidR="004A3175" w:rsidRPr="00520D24" w14:paraId="3F2D0999" w14:textId="77777777" w:rsidTr="0058230D">
        <w:trPr>
          <w:trHeight w:val="691"/>
        </w:trPr>
        <w:tc>
          <w:tcPr>
            <w:tcW w:w="9629" w:type="dxa"/>
          </w:tcPr>
          <w:p w14:paraId="15CFE957" w14:textId="77777777" w:rsidR="004A3175" w:rsidRPr="00D46C34" w:rsidRDefault="004A3175" w:rsidP="004A3175">
            <w:pPr>
              <w:rPr>
                <w:b/>
              </w:rPr>
            </w:pPr>
            <w:proofErr w:type="spellStart"/>
            <w:r w:rsidRPr="00D46C34">
              <w:rPr>
                <w:b/>
              </w:rPr>
              <w:t>Repairability</w:t>
            </w:r>
            <w:proofErr w:type="spellEnd"/>
          </w:p>
          <w:p w14:paraId="2F2856EE" w14:textId="77777777" w:rsidR="004A3175" w:rsidRDefault="004A3175" w:rsidP="00E4682D">
            <w:r w:rsidRPr="00D46C34">
              <w:t xml:space="preserve">Ability of a damaged or failed equipment, </w:t>
            </w:r>
            <w:hyperlink r:id="rId17" w:history="1">
              <w:r w:rsidRPr="00D46C34">
                <w:rPr>
                  <w:rStyle w:val="Hyperlink"/>
                  <w:color w:val="auto"/>
                  <w:u w:val="none"/>
                </w:rPr>
                <w:t>machine</w:t>
              </w:r>
            </w:hyperlink>
            <w:r w:rsidRPr="00D46C34">
              <w:t xml:space="preserve"> or </w:t>
            </w:r>
            <w:hyperlink r:id="rId18" w:history="1">
              <w:r w:rsidRPr="00D46C34">
                <w:rPr>
                  <w:rStyle w:val="Hyperlink"/>
                  <w:color w:val="auto"/>
                  <w:u w:val="none"/>
                </w:rPr>
                <w:t>system</w:t>
              </w:r>
            </w:hyperlink>
            <w:r w:rsidRPr="00D46C34">
              <w:t xml:space="preserve"> to be restored to acceptable operating </w:t>
            </w:r>
            <w:hyperlink r:id="rId19" w:history="1">
              <w:r w:rsidRPr="00D46C34">
                <w:rPr>
                  <w:rStyle w:val="Hyperlink"/>
                  <w:color w:val="auto"/>
                  <w:u w:val="none"/>
                </w:rPr>
                <w:t>condition</w:t>
              </w:r>
            </w:hyperlink>
            <w:r w:rsidRPr="00D46C34">
              <w:t xml:space="preserve"> within a specified </w:t>
            </w:r>
            <w:hyperlink r:id="rId20" w:history="1">
              <w:r w:rsidRPr="00D46C34">
                <w:rPr>
                  <w:rStyle w:val="Hyperlink"/>
                  <w:color w:val="auto"/>
                  <w:u w:val="none"/>
                </w:rPr>
                <w:t>period</w:t>
              </w:r>
            </w:hyperlink>
            <w:r w:rsidRPr="00D46C34">
              <w:t xml:space="preserve"> (</w:t>
            </w:r>
            <w:hyperlink r:id="rId21" w:history="1">
              <w:r w:rsidRPr="00D46C34">
                <w:rPr>
                  <w:rStyle w:val="Hyperlink"/>
                  <w:color w:val="auto"/>
                  <w:u w:val="none"/>
                </w:rPr>
                <w:t>repair</w:t>
              </w:r>
            </w:hyperlink>
            <w:r w:rsidRPr="00D46C34">
              <w:t xml:space="preserve"> time).</w:t>
            </w:r>
          </w:p>
          <w:p w14:paraId="64377915" w14:textId="4BFC752F" w:rsidR="006E3173" w:rsidRPr="004A3175" w:rsidRDefault="006E3173" w:rsidP="00E4682D">
            <w:pPr>
              <w:rPr>
                <w:b/>
              </w:rPr>
            </w:pPr>
          </w:p>
        </w:tc>
      </w:tr>
      <w:tr w:rsidR="004A3175" w:rsidRPr="00520D24" w14:paraId="72041B1F" w14:textId="77777777" w:rsidTr="00D46C34">
        <w:trPr>
          <w:trHeight w:val="798"/>
        </w:trPr>
        <w:tc>
          <w:tcPr>
            <w:tcW w:w="9629" w:type="dxa"/>
          </w:tcPr>
          <w:p w14:paraId="3DD60CCC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lastRenderedPageBreak/>
              <w:t xml:space="preserve">Seating </w:t>
            </w:r>
            <w:r w:rsidR="00D531A5" w:rsidRPr="004A3175">
              <w:rPr>
                <w:b/>
              </w:rPr>
              <w:t xml:space="preserve">System </w:t>
            </w:r>
            <w:r w:rsidRPr="004A3175">
              <w:rPr>
                <w:b/>
              </w:rPr>
              <w:t>(SEAT specific)</w:t>
            </w:r>
          </w:p>
          <w:p w14:paraId="57B5BC42" w14:textId="77777777" w:rsidR="004A3175" w:rsidRPr="004A3175" w:rsidRDefault="004A3175" w:rsidP="00E4682D">
            <w:pPr>
              <w:rPr>
                <w:b/>
              </w:rPr>
            </w:pPr>
            <w:r w:rsidRPr="00520D24">
              <w:t>An insert or seating attachment for a wheelchair or chair. Clients may be prescribed a supported seating system if they have difficulty maintaining an upright sitting posture in a standard wheelchair or chair. The seating system may be prescribed to provide support and comfort while sitting, to promote a symmetrical sitting posture, to improve function such as eating and/or to help with the provision of care</w:t>
            </w:r>
            <w:r w:rsidRPr="00520D24">
              <w:rPr>
                <w:bCs/>
              </w:rPr>
              <w:t>.</w:t>
            </w:r>
          </w:p>
        </w:tc>
      </w:tr>
      <w:tr w:rsidR="004A3175" w:rsidRPr="00520D24" w14:paraId="150EF365" w14:textId="77777777" w:rsidTr="0058230D">
        <w:trPr>
          <w:trHeight w:val="267"/>
        </w:trPr>
        <w:tc>
          <w:tcPr>
            <w:tcW w:w="9629" w:type="dxa"/>
          </w:tcPr>
          <w:p w14:paraId="22916ABA" w14:textId="77777777" w:rsidR="004A3175" w:rsidRPr="004A3175" w:rsidRDefault="004A3175" w:rsidP="004A3175">
            <w:pPr>
              <w:rPr>
                <w:b/>
              </w:rPr>
            </w:pPr>
            <w:r w:rsidRPr="004A3175">
              <w:rPr>
                <w:b/>
              </w:rPr>
              <w:t>Stock</w:t>
            </w:r>
          </w:p>
          <w:p w14:paraId="3FB81BCA" w14:textId="10426789" w:rsidR="004A3175" w:rsidRPr="004A3175" w:rsidRDefault="004A3175" w:rsidP="005F3E1C">
            <w:pPr>
              <w:rPr>
                <w:b/>
              </w:rPr>
            </w:pPr>
            <w:r w:rsidRPr="00520D24">
              <w:t xml:space="preserve">New or re-issue items available for issue from </w:t>
            </w:r>
            <w:r w:rsidR="005F3E1C">
              <w:t>TEP</w:t>
            </w:r>
            <w:r w:rsidR="005F3E1C" w:rsidRPr="00520D24">
              <w:t xml:space="preserve"> </w:t>
            </w:r>
            <w:r w:rsidRPr="00520D24">
              <w:t>stock locations.</w:t>
            </w:r>
          </w:p>
        </w:tc>
      </w:tr>
      <w:tr w:rsidR="004A3175" w:rsidRPr="00520D24" w14:paraId="522108DA" w14:textId="77777777" w:rsidTr="0058230D">
        <w:trPr>
          <w:trHeight w:val="70"/>
        </w:trPr>
        <w:tc>
          <w:tcPr>
            <w:tcW w:w="9629" w:type="dxa"/>
          </w:tcPr>
          <w:p w14:paraId="799C2974" w14:textId="77777777" w:rsidR="004A3175" w:rsidRPr="00D531A5" w:rsidRDefault="004A3175" w:rsidP="00D531A5">
            <w:pPr>
              <w:rPr>
                <w:b/>
              </w:rPr>
            </w:pPr>
            <w:r w:rsidRPr="00D531A5">
              <w:rPr>
                <w:b/>
              </w:rPr>
              <w:t>Supplier</w:t>
            </w:r>
          </w:p>
          <w:p w14:paraId="76EF3715" w14:textId="77777777" w:rsidR="004A3175" w:rsidRPr="00520D24" w:rsidRDefault="004A3175" w:rsidP="00E4682D">
            <w:r w:rsidRPr="00520D24">
              <w:t>Any commercial entity that provides goods or services.</w:t>
            </w:r>
          </w:p>
        </w:tc>
      </w:tr>
    </w:tbl>
    <w:p w14:paraId="585D8682" w14:textId="77777777" w:rsidR="004E4E96" w:rsidRDefault="004E4E96" w:rsidP="00520D24"/>
    <w:sectPr w:rsidR="004E4E96" w:rsidSect="00BD1A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134" w:right="1133" w:bottom="1135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B6EF" w14:textId="77777777" w:rsidR="00897C88" w:rsidRDefault="00897C88">
      <w:r>
        <w:separator/>
      </w:r>
    </w:p>
  </w:endnote>
  <w:endnote w:type="continuationSeparator" w:id="0">
    <w:p w14:paraId="58F62F8C" w14:textId="77777777" w:rsidR="00897C88" w:rsidRDefault="0089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6E20" w14:textId="77777777" w:rsidR="00C24325" w:rsidRDefault="00C24325" w:rsidP="00BD3604">
    <w:pPr>
      <w:pStyle w:val="Footer"/>
      <w:pBdr>
        <w:top w:val="single" w:sz="4" w:space="6" w:color="auto"/>
      </w:pBdr>
      <w:tabs>
        <w:tab w:val="clear" w:pos="4153"/>
        <w:tab w:val="clear" w:pos="8306"/>
        <w:tab w:val="left" w:pos="0"/>
        <w:tab w:val="center" w:pos="4140"/>
        <w:tab w:val="right" w:pos="9360"/>
      </w:tabs>
      <w:ind w:right="-1355" w:hanging="1503"/>
      <w:rPr>
        <w:rStyle w:val="PageNumber"/>
        <w:sz w:val="18"/>
        <w:szCs w:val="18"/>
      </w:rPr>
    </w:pPr>
    <w:r>
      <w:rPr>
        <w:rFonts w:cs="Arial"/>
        <w:sz w:val="18"/>
      </w:rPr>
      <w:tab/>
    </w:r>
    <w:r w:rsidRPr="00A75AF9">
      <w:rPr>
        <w:rFonts w:cs="Arial"/>
        <w:sz w:val="18"/>
      </w:rPr>
      <w:tab/>
    </w:r>
    <w:r w:rsidRPr="00A75AF9">
      <w:rPr>
        <w:sz w:val="18"/>
        <w:szCs w:val="18"/>
      </w:rPr>
      <w:t xml:space="preserve">Page </w:t>
    </w:r>
    <w:r w:rsidRPr="00A75AF9">
      <w:rPr>
        <w:rStyle w:val="PageNumber"/>
        <w:sz w:val="18"/>
        <w:szCs w:val="18"/>
      </w:rPr>
      <w:fldChar w:fldCharType="begin"/>
    </w:r>
    <w:r w:rsidRPr="00A75AF9">
      <w:rPr>
        <w:rStyle w:val="PageNumber"/>
        <w:sz w:val="18"/>
        <w:szCs w:val="18"/>
      </w:rPr>
      <w:instrText xml:space="preserve"> PAGE </w:instrText>
    </w:r>
    <w:r w:rsidRPr="00A75AF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A75AF9">
      <w:rPr>
        <w:rStyle w:val="PageNumber"/>
        <w:sz w:val="18"/>
        <w:szCs w:val="18"/>
      </w:rPr>
      <w:fldChar w:fldCharType="end"/>
    </w:r>
    <w:r w:rsidRPr="00A75AF9">
      <w:rPr>
        <w:rStyle w:val="PageNumber"/>
        <w:sz w:val="18"/>
        <w:szCs w:val="18"/>
      </w:rPr>
      <w:t xml:space="preserve"> of </w:t>
    </w:r>
    <w:r w:rsidRPr="00A75AF9">
      <w:rPr>
        <w:rStyle w:val="PageNumber"/>
        <w:sz w:val="18"/>
        <w:szCs w:val="18"/>
      </w:rPr>
      <w:fldChar w:fldCharType="begin"/>
    </w:r>
    <w:r w:rsidRPr="00A75AF9">
      <w:rPr>
        <w:rStyle w:val="PageNumber"/>
        <w:sz w:val="18"/>
        <w:szCs w:val="18"/>
      </w:rPr>
      <w:instrText xml:space="preserve"> NUMPAGES </w:instrText>
    </w:r>
    <w:r w:rsidRPr="00A75AF9">
      <w:rPr>
        <w:rStyle w:val="PageNumber"/>
        <w:sz w:val="18"/>
        <w:szCs w:val="18"/>
      </w:rPr>
      <w:fldChar w:fldCharType="separate"/>
    </w:r>
    <w:r w:rsidR="00520D24">
      <w:rPr>
        <w:rStyle w:val="PageNumber"/>
        <w:noProof/>
        <w:sz w:val="18"/>
        <w:szCs w:val="18"/>
      </w:rPr>
      <w:t>1</w:t>
    </w:r>
    <w:r w:rsidRPr="00A75AF9">
      <w:rPr>
        <w:rStyle w:val="PageNumber"/>
        <w:sz w:val="18"/>
        <w:szCs w:val="18"/>
      </w:rPr>
      <w:fldChar w:fldCharType="end"/>
    </w:r>
    <w:r w:rsidRPr="00A75AF9">
      <w:rPr>
        <w:rStyle w:val="PageNumber"/>
        <w:sz w:val="18"/>
        <w:szCs w:val="18"/>
      </w:rPr>
      <w:tab/>
    </w:r>
  </w:p>
  <w:p w14:paraId="4779A8CD" w14:textId="77777777" w:rsidR="00C24325" w:rsidRPr="00A75AF9" w:rsidRDefault="00C24325" w:rsidP="00DB5E6C">
    <w:pPr>
      <w:pStyle w:val="Footer"/>
      <w:tabs>
        <w:tab w:val="clear" w:pos="4153"/>
        <w:tab w:val="clear" w:pos="8306"/>
        <w:tab w:val="center" w:pos="4140"/>
        <w:tab w:val="right" w:pos="9360"/>
      </w:tabs>
      <w:spacing w:before="0" w:after="0"/>
      <w:ind w:right="-1355"/>
      <w:jc w:val="center"/>
      <w:rPr>
        <w:rFonts w:cs="Arial"/>
        <w:sz w:val="18"/>
      </w:rPr>
    </w:pPr>
    <w:r w:rsidRPr="00C46202">
      <w:rPr>
        <w:rFonts w:cs="Arial"/>
        <w:b/>
      </w:rPr>
      <w:t>Department of Health and Families is a Smoke Free Workplace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480F" w14:textId="77777777" w:rsidR="00BD1AA0" w:rsidRPr="00BD1AA0" w:rsidRDefault="00BD1AA0" w:rsidP="00BD1AA0">
    <w:pPr>
      <w:spacing w:before="0" w:after="0"/>
      <w:rPr>
        <w:rFonts w:eastAsia="Calibri" w:cs="Times New Roman"/>
        <w:lang w:eastAsia="en-US"/>
      </w:rPr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BD1AA0" w:rsidRPr="00BD1AA0" w14:paraId="083EAE44" w14:textId="77777777" w:rsidTr="000B1A88">
      <w:trPr>
        <w:cantSplit/>
        <w:trHeight w:hRule="exact" w:val="850"/>
      </w:trPr>
      <w:tc>
        <w:tcPr>
          <w:tcW w:w="10318" w:type="dxa"/>
          <w:vAlign w:val="bottom"/>
        </w:tcPr>
        <w:p w14:paraId="68013B1B" w14:textId="3172AF67" w:rsidR="00BD1AA0" w:rsidRPr="00BD1AA0" w:rsidRDefault="00BD1AA0" w:rsidP="00BD1AA0">
          <w:pPr>
            <w:spacing w:before="0" w:after="0"/>
            <w:rPr>
              <w:rFonts w:eastAsia="Calibri" w:cs="Times New Roman"/>
              <w:b/>
              <w:sz w:val="19"/>
              <w:lang w:eastAsia="en-US"/>
            </w:rPr>
          </w:pPr>
          <w:r w:rsidRPr="00BD1AA0">
            <w:rPr>
              <w:rFonts w:eastAsia="Calibri" w:cs="Times New Roman"/>
              <w:sz w:val="19"/>
              <w:lang w:eastAsia="en-US"/>
            </w:rPr>
            <w:t>Depar</w:t>
          </w:r>
          <w:r>
            <w:rPr>
              <w:rFonts w:eastAsia="Calibri" w:cs="Times New Roman"/>
              <w:sz w:val="19"/>
              <w:lang w:eastAsia="en-US"/>
            </w:rPr>
            <w:t>tment of Health</w:t>
          </w:r>
        </w:p>
        <w:p w14:paraId="0A8AC1EF" w14:textId="4128A3FE" w:rsidR="00BD1AA0" w:rsidRPr="00BD1AA0" w:rsidRDefault="00BD1AA0" w:rsidP="00BD1AA0">
          <w:pPr>
            <w:spacing w:before="0" w:after="0"/>
            <w:rPr>
              <w:rFonts w:eastAsia="Calibri" w:cs="Times New Roman"/>
              <w:sz w:val="19"/>
              <w:lang w:eastAsia="en-US"/>
            </w:rPr>
          </w:pPr>
          <w:r w:rsidRPr="00BD1AA0">
            <w:rPr>
              <w:rFonts w:eastAsia="Calibri" w:cs="Times New Roman"/>
              <w:sz w:val="19"/>
              <w:lang w:eastAsia="en-US"/>
            </w:rPr>
            <w:t xml:space="preserve">Page 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begin"/>
          </w:r>
          <w:r w:rsidRPr="00BD1AA0">
            <w:rPr>
              <w:rFonts w:eastAsia="Calibri" w:cs="Times New Roman"/>
              <w:sz w:val="19"/>
              <w:lang w:eastAsia="en-US"/>
            </w:rPr>
            <w:instrText xml:space="preserve"> PAGE  \* Arabic  \* MERGEFORMAT </w:instrTex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separate"/>
          </w:r>
          <w:r w:rsidR="00351E7D">
            <w:rPr>
              <w:rFonts w:eastAsia="Calibri" w:cs="Times New Roman"/>
              <w:noProof/>
              <w:sz w:val="19"/>
              <w:lang w:eastAsia="en-US"/>
            </w:rPr>
            <w:t>4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end"/>
          </w:r>
          <w:r w:rsidRPr="00BD1AA0">
            <w:rPr>
              <w:rFonts w:eastAsia="Calibri" w:cs="Times New Roman"/>
              <w:sz w:val="19"/>
              <w:lang w:eastAsia="en-US"/>
            </w:rPr>
            <w:t xml:space="preserve"> of 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begin"/>
          </w:r>
          <w:r w:rsidRPr="00BD1AA0">
            <w:rPr>
              <w:rFonts w:eastAsia="Calibri" w:cs="Times New Roman"/>
              <w:sz w:val="19"/>
              <w:lang w:eastAsia="en-US"/>
            </w:rPr>
            <w:instrText xml:space="preserve"> NUMPAGES  \* Arabic  \* MERGEFORMAT </w:instrTex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separate"/>
          </w:r>
          <w:r w:rsidR="00351E7D">
            <w:rPr>
              <w:rFonts w:eastAsia="Calibri" w:cs="Times New Roman"/>
              <w:noProof/>
              <w:sz w:val="19"/>
              <w:lang w:eastAsia="en-US"/>
            </w:rPr>
            <w:t>4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end"/>
          </w:r>
        </w:p>
      </w:tc>
    </w:tr>
  </w:tbl>
  <w:p w14:paraId="67B02245" w14:textId="77777777" w:rsidR="00BD1AA0" w:rsidRPr="00BD1AA0" w:rsidRDefault="00BD1AA0" w:rsidP="00BD1AA0">
    <w:pPr>
      <w:tabs>
        <w:tab w:val="center" w:pos="4513"/>
        <w:tab w:val="right" w:pos="9026"/>
      </w:tabs>
      <w:spacing w:before="0" w:after="0"/>
      <w:rPr>
        <w:rFonts w:eastAsia="Calibri" w:cs="Times New Roman"/>
        <w:sz w:val="4"/>
        <w:szCs w:val="4"/>
        <w:lang w:eastAsia="en-US"/>
      </w:rPr>
    </w:pPr>
  </w:p>
  <w:p w14:paraId="16B9A2E4" w14:textId="77777777" w:rsidR="001411A4" w:rsidRPr="00BD1AA0" w:rsidRDefault="001411A4" w:rsidP="00BD1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8A32" w14:textId="77777777" w:rsidR="00BD1AA0" w:rsidRPr="00BD1AA0" w:rsidRDefault="00BD1AA0" w:rsidP="00BD1AA0">
    <w:pPr>
      <w:spacing w:before="0" w:after="0"/>
      <w:rPr>
        <w:rFonts w:eastAsia="Calibri" w:cs="Times New Roman"/>
        <w:lang w:eastAsia="en-US"/>
      </w:rPr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BD1AA0" w:rsidRPr="00BD1AA0" w14:paraId="283CA3C0" w14:textId="77777777" w:rsidTr="000B1A88">
      <w:trPr>
        <w:cantSplit/>
        <w:trHeight w:hRule="exact" w:val="1134"/>
      </w:trPr>
      <w:tc>
        <w:tcPr>
          <w:tcW w:w="7767" w:type="dxa"/>
          <w:vAlign w:val="bottom"/>
        </w:tcPr>
        <w:p w14:paraId="19E89F9F" w14:textId="1A4AB411" w:rsidR="00BD1AA0" w:rsidRPr="00BD1AA0" w:rsidRDefault="00BD1AA0" w:rsidP="00BD1AA0">
          <w:pPr>
            <w:spacing w:before="0" w:after="0"/>
            <w:rPr>
              <w:rFonts w:eastAsia="Calibri" w:cs="Times New Roman"/>
              <w:b/>
              <w:sz w:val="19"/>
              <w:lang w:eastAsia="en-US"/>
            </w:rPr>
          </w:pPr>
          <w:r w:rsidRPr="00BD1AA0">
            <w:rPr>
              <w:rFonts w:eastAsia="Calibri" w:cs="Times New Roman"/>
              <w:sz w:val="19"/>
              <w:lang w:eastAsia="en-US"/>
            </w:rPr>
            <w:t xml:space="preserve">Department of </w:t>
          </w:r>
          <w:r>
            <w:rPr>
              <w:rFonts w:eastAsia="Calibri" w:cs="Times New Roman"/>
              <w:sz w:val="19"/>
              <w:lang w:eastAsia="en-US"/>
            </w:rPr>
            <w:t>Health</w:t>
          </w:r>
        </w:p>
        <w:p w14:paraId="1941B9C6" w14:textId="0B520B6F" w:rsidR="00BD1AA0" w:rsidRPr="00BD1AA0" w:rsidRDefault="00BD1AA0" w:rsidP="00BD1AA0">
          <w:pPr>
            <w:spacing w:before="0" w:after="0"/>
            <w:rPr>
              <w:rFonts w:eastAsia="Calibri" w:cs="Times New Roman"/>
              <w:sz w:val="19"/>
              <w:lang w:eastAsia="en-US"/>
            </w:rPr>
          </w:pPr>
          <w:r w:rsidRPr="00BD1AA0">
            <w:rPr>
              <w:rFonts w:eastAsia="Calibri" w:cs="Times New Roman"/>
              <w:sz w:val="19"/>
              <w:lang w:eastAsia="en-US"/>
            </w:rPr>
            <w:t xml:space="preserve">Page 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begin"/>
          </w:r>
          <w:r w:rsidRPr="00BD1AA0">
            <w:rPr>
              <w:rFonts w:eastAsia="Calibri" w:cs="Times New Roman"/>
              <w:sz w:val="19"/>
              <w:lang w:eastAsia="en-US"/>
            </w:rPr>
            <w:instrText xml:space="preserve"> PAGE  \* Arabic  \* MERGEFORMAT </w:instrTex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separate"/>
          </w:r>
          <w:r w:rsidR="00351E7D">
            <w:rPr>
              <w:rFonts w:eastAsia="Calibri" w:cs="Times New Roman"/>
              <w:noProof/>
              <w:sz w:val="19"/>
              <w:lang w:eastAsia="en-US"/>
            </w:rPr>
            <w:t>1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end"/>
          </w:r>
          <w:r w:rsidRPr="00BD1AA0">
            <w:rPr>
              <w:rFonts w:eastAsia="Calibri" w:cs="Times New Roman"/>
              <w:sz w:val="19"/>
              <w:lang w:eastAsia="en-US"/>
            </w:rPr>
            <w:t xml:space="preserve"> of 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begin"/>
          </w:r>
          <w:r w:rsidRPr="00BD1AA0">
            <w:rPr>
              <w:rFonts w:eastAsia="Calibri" w:cs="Times New Roman"/>
              <w:sz w:val="19"/>
              <w:lang w:eastAsia="en-US"/>
            </w:rPr>
            <w:instrText xml:space="preserve"> NUMPAGES  \* Arabic  \* MERGEFORMAT </w:instrTex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separate"/>
          </w:r>
          <w:r w:rsidR="00351E7D">
            <w:rPr>
              <w:rFonts w:eastAsia="Calibri" w:cs="Times New Roman"/>
              <w:noProof/>
              <w:sz w:val="19"/>
              <w:lang w:eastAsia="en-US"/>
            </w:rPr>
            <w:t>4</w:t>
          </w:r>
          <w:r w:rsidRPr="00BD1AA0">
            <w:rPr>
              <w:rFonts w:eastAsia="Calibri" w:cs="Times New Roman"/>
              <w:sz w:val="19"/>
              <w:lang w:eastAsia="en-US"/>
            </w:rPr>
            <w:fldChar w:fldCharType="end"/>
          </w:r>
        </w:p>
      </w:tc>
      <w:tc>
        <w:tcPr>
          <w:tcW w:w="2551" w:type="dxa"/>
          <w:vAlign w:val="bottom"/>
        </w:tcPr>
        <w:p w14:paraId="0980AB69" w14:textId="77777777" w:rsidR="00BD1AA0" w:rsidRPr="00BD1AA0" w:rsidRDefault="00BD1AA0" w:rsidP="00BD1AA0">
          <w:pPr>
            <w:spacing w:before="0" w:after="0"/>
            <w:jc w:val="right"/>
            <w:rPr>
              <w:rFonts w:eastAsia="Calibri" w:cs="Times New Roman"/>
              <w:lang w:eastAsia="en-US"/>
            </w:rPr>
          </w:pPr>
          <w:r w:rsidRPr="00BD1AA0">
            <w:rPr>
              <w:rFonts w:eastAsia="Calibri" w:cs="Times New Roman"/>
              <w:noProof/>
            </w:rPr>
            <w:drawing>
              <wp:inline distT="0" distB="0" distL="0" distR="0" wp14:anchorId="1FDD8FE2" wp14:editId="11E595E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D1AA0">
            <w:rPr>
              <w:rFonts w:eastAsia="Calibri" w:cs="Times New Roman"/>
              <w:noProof/>
              <w:sz w:val="19"/>
            </w:rPr>
            <w:t xml:space="preserve"> </w:t>
          </w:r>
        </w:p>
      </w:tc>
    </w:tr>
  </w:tbl>
  <w:p w14:paraId="3962D6F7" w14:textId="77777777" w:rsidR="00BD1AA0" w:rsidRPr="00BD1AA0" w:rsidRDefault="00BD1AA0" w:rsidP="00BD1AA0">
    <w:pPr>
      <w:spacing w:before="0" w:after="0"/>
      <w:rPr>
        <w:rFonts w:eastAsia="Calibri" w:cs="Times New Roman"/>
        <w:sz w:val="2"/>
        <w:szCs w:val="2"/>
        <w:lang w:eastAsia="en-US"/>
      </w:rPr>
    </w:pPr>
  </w:p>
  <w:p w14:paraId="7389433F" w14:textId="77777777" w:rsidR="00C24325" w:rsidRPr="00BD1AA0" w:rsidRDefault="00C24325" w:rsidP="00BD1AA0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D414" w14:textId="77777777" w:rsidR="00897C88" w:rsidRDefault="00897C88">
      <w:r>
        <w:separator/>
      </w:r>
    </w:p>
  </w:footnote>
  <w:footnote w:type="continuationSeparator" w:id="0">
    <w:p w14:paraId="184FEF89" w14:textId="77777777" w:rsidR="00897C88" w:rsidRDefault="0089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C334" w14:textId="77777777" w:rsidR="00C24325" w:rsidRDefault="00464D47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F5F266A" wp14:editId="3051B355">
          <wp:simplePos x="0" y="0"/>
          <wp:positionH relativeFrom="column">
            <wp:posOffset>-984250</wp:posOffset>
          </wp:positionH>
          <wp:positionV relativeFrom="paragraph">
            <wp:posOffset>-107315</wp:posOffset>
          </wp:positionV>
          <wp:extent cx="7137400" cy="393700"/>
          <wp:effectExtent l="0" t="0" r="6350" b="6350"/>
          <wp:wrapNone/>
          <wp:docPr id="11" name="Picture 11" descr="dhf_header_no_colour_straight_line_00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dhf_header_no_colour_straight_line_005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D4AE1" w14:textId="77777777" w:rsidR="00C24325" w:rsidRDefault="00C24325">
    <w:pPr>
      <w:pStyle w:val="Header"/>
    </w:pPr>
  </w:p>
  <w:p w14:paraId="657E5AED" w14:textId="77777777" w:rsidR="00C24325" w:rsidRDefault="00C24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itle"/>
      <w:tag w:val=""/>
      <w:id w:val="351924859"/>
      <w:placeholder>
        <w:docPart w:val="93414C4931AF49DFA5F52AF19A46A93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5F7A0C" w14:textId="5E8AABA3" w:rsidR="00C24325" w:rsidRPr="00BE3F7F" w:rsidRDefault="005F3E1C" w:rsidP="00BD1AA0">
        <w:pPr>
          <w:pStyle w:val="Header"/>
          <w:spacing w:before="240" w:after="200"/>
          <w:ind w:right="-567"/>
          <w:jc w:val="right"/>
          <w:rPr>
            <w:b/>
          </w:rPr>
        </w:pPr>
        <w:r>
          <w:rPr>
            <w:b/>
          </w:rPr>
          <w:t>Territory Equipment Program (TEP) Glossary (GL)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B336" w14:textId="04161936" w:rsidR="00211CA7" w:rsidRPr="00BD1AA0" w:rsidRDefault="00BD1AA0" w:rsidP="00BD1AA0">
    <w:pPr>
      <w:pStyle w:val="Header"/>
    </w:pPr>
    <w:r w:rsidRPr="00BD1AA0">
      <w:rPr>
        <w:rFonts w:ascii="Lato Semibold" w:eastAsia="Calibri" w:hAnsi="Lato Semibold" w:cs="Times New Roman"/>
        <w:bCs/>
        <w:color w:val="1F1F5F"/>
        <w:kern w:val="32"/>
        <w:sz w:val="60"/>
        <w:szCs w:val="64"/>
        <w:lang w:eastAsia="en-US"/>
      </w:rPr>
      <w:t>Territory Equipment Program (TEP) Glossary (GL)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A89"/>
    <w:multiLevelType w:val="hybridMultilevel"/>
    <w:tmpl w:val="984E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0D5D"/>
    <w:multiLevelType w:val="hybridMultilevel"/>
    <w:tmpl w:val="060C75B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24E8F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CF37BE"/>
    <w:multiLevelType w:val="hybridMultilevel"/>
    <w:tmpl w:val="5840195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75586"/>
    <w:multiLevelType w:val="hybridMultilevel"/>
    <w:tmpl w:val="750CD888"/>
    <w:lvl w:ilvl="0" w:tplc="BBFAF7B6">
      <w:numFmt w:val="bullet"/>
      <w:pStyle w:val="Bulletpointlis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#09f,#9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4"/>
    <w:rsid w:val="00010166"/>
    <w:rsid w:val="00012080"/>
    <w:rsid w:val="00026FAC"/>
    <w:rsid w:val="00030AAF"/>
    <w:rsid w:val="00035AD1"/>
    <w:rsid w:val="00043139"/>
    <w:rsid w:val="000638E3"/>
    <w:rsid w:val="00065926"/>
    <w:rsid w:val="000A15D1"/>
    <w:rsid w:val="000A48F2"/>
    <w:rsid w:val="000C43AA"/>
    <w:rsid w:val="000C50F1"/>
    <w:rsid w:val="00102748"/>
    <w:rsid w:val="00104F71"/>
    <w:rsid w:val="001203E5"/>
    <w:rsid w:val="00122B77"/>
    <w:rsid w:val="001411A4"/>
    <w:rsid w:val="00151EC5"/>
    <w:rsid w:val="00155928"/>
    <w:rsid w:val="001629EE"/>
    <w:rsid w:val="00167B5C"/>
    <w:rsid w:val="001705F1"/>
    <w:rsid w:val="00175039"/>
    <w:rsid w:val="00180BB7"/>
    <w:rsid w:val="001975D1"/>
    <w:rsid w:val="001A2C22"/>
    <w:rsid w:val="001A725B"/>
    <w:rsid w:val="001B44CB"/>
    <w:rsid w:val="001B7912"/>
    <w:rsid w:val="001D2C96"/>
    <w:rsid w:val="001D46CB"/>
    <w:rsid w:val="001E37BA"/>
    <w:rsid w:val="001E7254"/>
    <w:rsid w:val="00211CA7"/>
    <w:rsid w:val="002154BB"/>
    <w:rsid w:val="0022207F"/>
    <w:rsid w:val="00246261"/>
    <w:rsid w:val="00260B48"/>
    <w:rsid w:val="00281315"/>
    <w:rsid w:val="002911A3"/>
    <w:rsid w:val="00295475"/>
    <w:rsid w:val="002A2060"/>
    <w:rsid w:val="002D3B81"/>
    <w:rsid w:val="002D7789"/>
    <w:rsid w:val="002E0BD8"/>
    <w:rsid w:val="002F486C"/>
    <w:rsid w:val="002F5454"/>
    <w:rsid w:val="002F7ADF"/>
    <w:rsid w:val="0030055F"/>
    <w:rsid w:val="003064E3"/>
    <w:rsid w:val="00351E7D"/>
    <w:rsid w:val="00356EAA"/>
    <w:rsid w:val="00370DD2"/>
    <w:rsid w:val="0038306F"/>
    <w:rsid w:val="00395550"/>
    <w:rsid w:val="003B05DE"/>
    <w:rsid w:val="003B1BCB"/>
    <w:rsid w:val="003C3FF3"/>
    <w:rsid w:val="003C714E"/>
    <w:rsid w:val="003D032F"/>
    <w:rsid w:val="003D7FCD"/>
    <w:rsid w:val="003F05A9"/>
    <w:rsid w:val="003F2C0D"/>
    <w:rsid w:val="00406A45"/>
    <w:rsid w:val="0041601D"/>
    <w:rsid w:val="00433F30"/>
    <w:rsid w:val="004567E7"/>
    <w:rsid w:val="00456F95"/>
    <w:rsid w:val="00462AC6"/>
    <w:rsid w:val="00464D47"/>
    <w:rsid w:val="0048503E"/>
    <w:rsid w:val="004A3175"/>
    <w:rsid w:val="004A597B"/>
    <w:rsid w:val="004B3499"/>
    <w:rsid w:val="004D3469"/>
    <w:rsid w:val="004E4E96"/>
    <w:rsid w:val="004E65EA"/>
    <w:rsid w:val="00511D7D"/>
    <w:rsid w:val="0051326D"/>
    <w:rsid w:val="00514FE7"/>
    <w:rsid w:val="00520D24"/>
    <w:rsid w:val="005230D7"/>
    <w:rsid w:val="005252B4"/>
    <w:rsid w:val="00526204"/>
    <w:rsid w:val="00542411"/>
    <w:rsid w:val="00546015"/>
    <w:rsid w:val="0055701C"/>
    <w:rsid w:val="0058230D"/>
    <w:rsid w:val="005A2395"/>
    <w:rsid w:val="005A6E6D"/>
    <w:rsid w:val="005C53EC"/>
    <w:rsid w:val="005F3E1C"/>
    <w:rsid w:val="006177BD"/>
    <w:rsid w:val="00634DE3"/>
    <w:rsid w:val="00636AF0"/>
    <w:rsid w:val="006411BD"/>
    <w:rsid w:val="00647ED6"/>
    <w:rsid w:val="00654576"/>
    <w:rsid w:val="00662D7E"/>
    <w:rsid w:val="00687AFE"/>
    <w:rsid w:val="00687DB4"/>
    <w:rsid w:val="00690C79"/>
    <w:rsid w:val="006C0A22"/>
    <w:rsid w:val="006E3173"/>
    <w:rsid w:val="006F0252"/>
    <w:rsid w:val="0072751F"/>
    <w:rsid w:val="007411C0"/>
    <w:rsid w:val="00742E57"/>
    <w:rsid w:val="007517B3"/>
    <w:rsid w:val="0075711D"/>
    <w:rsid w:val="00763BBC"/>
    <w:rsid w:val="007867F7"/>
    <w:rsid w:val="007A343D"/>
    <w:rsid w:val="007C24D5"/>
    <w:rsid w:val="007C6094"/>
    <w:rsid w:val="007E0AC4"/>
    <w:rsid w:val="007F23AF"/>
    <w:rsid w:val="00810041"/>
    <w:rsid w:val="00823F34"/>
    <w:rsid w:val="00824A1B"/>
    <w:rsid w:val="008348DD"/>
    <w:rsid w:val="00835D9D"/>
    <w:rsid w:val="00836335"/>
    <w:rsid w:val="008408D7"/>
    <w:rsid w:val="008478D5"/>
    <w:rsid w:val="00850095"/>
    <w:rsid w:val="008620F2"/>
    <w:rsid w:val="00863707"/>
    <w:rsid w:val="00896FAC"/>
    <w:rsid w:val="00897C88"/>
    <w:rsid w:val="008A21BA"/>
    <w:rsid w:val="008C3499"/>
    <w:rsid w:val="008D4475"/>
    <w:rsid w:val="008E3B79"/>
    <w:rsid w:val="00925588"/>
    <w:rsid w:val="009278B1"/>
    <w:rsid w:val="00927B56"/>
    <w:rsid w:val="00936DD1"/>
    <w:rsid w:val="00937ACB"/>
    <w:rsid w:val="009458C9"/>
    <w:rsid w:val="00956997"/>
    <w:rsid w:val="0097270B"/>
    <w:rsid w:val="00972A51"/>
    <w:rsid w:val="00976F54"/>
    <w:rsid w:val="00991889"/>
    <w:rsid w:val="009B2784"/>
    <w:rsid w:val="009B78F8"/>
    <w:rsid w:val="009C6167"/>
    <w:rsid w:val="009C751A"/>
    <w:rsid w:val="009D7BBF"/>
    <w:rsid w:val="009F2227"/>
    <w:rsid w:val="009F4796"/>
    <w:rsid w:val="00A07982"/>
    <w:rsid w:val="00A1478B"/>
    <w:rsid w:val="00A30743"/>
    <w:rsid w:val="00A75AF9"/>
    <w:rsid w:val="00A773FD"/>
    <w:rsid w:val="00A8184B"/>
    <w:rsid w:val="00A86D7E"/>
    <w:rsid w:val="00A95B52"/>
    <w:rsid w:val="00AA0682"/>
    <w:rsid w:val="00AA77AF"/>
    <w:rsid w:val="00AB7797"/>
    <w:rsid w:val="00AC0231"/>
    <w:rsid w:val="00AC3743"/>
    <w:rsid w:val="00AC4DC0"/>
    <w:rsid w:val="00B27CD8"/>
    <w:rsid w:val="00B50356"/>
    <w:rsid w:val="00B50CB7"/>
    <w:rsid w:val="00B54F8B"/>
    <w:rsid w:val="00BA52CD"/>
    <w:rsid w:val="00BD1AA0"/>
    <w:rsid w:val="00BD2E59"/>
    <w:rsid w:val="00BD3604"/>
    <w:rsid w:val="00BE2B54"/>
    <w:rsid w:val="00BE3F7F"/>
    <w:rsid w:val="00C037BA"/>
    <w:rsid w:val="00C06076"/>
    <w:rsid w:val="00C24325"/>
    <w:rsid w:val="00C35D3F"/>
    <w:rsid w:val="00C37230"/>
    <w:rsid w:val="00C40012"/>
    <w:rsid w:val="00C52E44"/>
    <w:rsid w:val="00C62428"/>
    <w:rsid w:val="00C955E1"/>
    <w:rsid w:val="00CB00EB"/>
    <w:rsid w:val="00CB2ABD"/>
    <w:rsid w:val="00CB3E49"/>
    <w:rsid w:val="00CC4F8F"/>
    <w:rsid w:val="00CD70D0"/>
    <w:rsid w:val="00D16E3C"/>
    <w:rsid w:val="00D201A2"/>
    <w:rsid w:val="00D225B5"/>
    <w:rsid w:val="00D45325"/>
    <w:rsid w:val="00D46C34"/>
    <w:rsid w:val="00D524FB"/>
    <w:rsid w:val="00D531A5"/>
    <w:rsid w:val="00D67063"/>
    <w:rsid w:val="00D7600E"/>
    <w:rsid w:val="00DB5E6C"/>
    <w:rsid w:val="00DE0DE7"/>
    <w:rsid w:val="00DE45C4"/>
    <w:rsid w:val="00DF548D"/>
    <w:rsid w:val="00E004DB"/>
    <w:rsid w:val="00E011D1"/>
    <w:rsid w:val="00E06A50"/>
    <w:rsid w:val="00E16F86"/>
    <w:rsid w:val="00E74E1E"/>
    <w:rsid w:val="00E76876"/>
    <w:rsid w:val="00E832B3"/>
    <w:rsid w:val="00EA4464"/>
    <w:rsid w:val="00EB6129"/>
    <w:rsid w:val="00ED2D97"/>
    <w:rsid w:val="00EE0032"/>
    <w:rsid w:val="00EE31B5"/>
    <w:rsid w:val="00EF51B1"/>
    <w:rsid w:val="00F11B0E"/>
    <w:rsid w:val="00F12D5C"/>
    <w:rsid w:val="00F1445B"/>
    <w:rsid w:val="00F52BB9"/>
    <w:rsid w:val="00F633EC"/>
    <w:rsid w:val="00F8096E"/>
    <w:rsid w:val="00FA4FE3"/>
    <w:rsid w:val="00FA6474"/>
    <w:rsid w:val="00FD3CCA"/>
    <w:rsid w:val="00FD4C74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f,#9cf"/>
    </o:shapedefaults>
    <o:shapelayout v:ext="edit">
      <o:idmap v:ext="edit" data="1"/>
    </o:shapelayout>
  </w:shapeDefaults>
  <w:decimalSymbol w:val="."/>
  <w:listSeparator w:val=","/>
  <w14:docId w14:val="7E91F53C"/>
  <w15:docId w15:val="{6CABF1CD-BD9E-48FE-A744-D865C6A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82"/>
    <w:pPr>
      <w:spacing w:before="120" w:after="120" w:line="240" w:lineRule="auto"/>
    </w:pPr>
    <w:rPr>
      <w:rFonts w:ascii="Lato" w:hAnsi="Lato"/>
    </w:rPr>
  </w:style>
  <w:style w:type="paragraph" w:styleId="Heading1">
    <w:name w:val="heading 1"/>
    <w:basedOn w:val="Heading2"/>
    <w:next w:val="Normal"/>
    <w:link w:val="Heading1Char"/>
    <w:uiPriority w:val="9"/>
    <w:qFormat/>
    <w:locked/>
    <w:rsid w:val="00AA0682"/>
    <w:pPr>
      <w:outlineLvl w:val="0"/>
    </w:pPr>
    <w:rPr>
      <w:bCs w:val="0"/>
      <w:color w:val="auto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A0682"/>
    <w:pPr>
      <w:spacing w:before="240" w:after="200"/>
      <w:outlineLvl w:val="1"/>
    </w:pPr>
    <w:rPr>
      <w:rFonts w:eastAsiaTheme="majorEastAsia" w:cstheme="majorBidi"/>
      <w:b/>
      <w:bCs/>
      <w:color w:val="606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A0682"/>
    <w:pPr>
      <w:spacing w:before="240" w:after="20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AA0682"/>
    <w:pPr>
      <w:spacing w:before="240" w:after="200"/>
      <w:outlineLvl w:val="3"/>
    </w:pPr>
    <w:rPr>
      <w:rFonts w:eastAsiaTheme="majorEastAsia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52620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5262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5262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2620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262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G Page Header"/>
    <w:basedOn w:val="Normal"/>
    <w:link w:val="HeaderChar"/>
    <w:uiPriority w:val="99"/>
    <w:locked/>
    <w:rsid w:val="00F144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F144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locked/>
    <w:rsid w:val="00F1445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  <w:rsid w:val="004B3499"/>
  </w:style>
  <w:style w:type="table" w:styleId="TableGrid">
    <w:name w:val="Table Grid"/>
    <w:basedOn w:val="TableNormal"/>
    <w:uiPriority w:val="59"/>
    <w:locked/>
    <w:rsid w:val="009F4796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ocked/>
    <w:rsid w:val="005A2395"/>
    <w:pPr>
      <w:spacing w:before="0"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Strong">
    <w:name w:val="Strong"/>
    <w:basedOn w:val="DefaultParagraphFont"/>
    <w:locked/>
    <w:rsid w:val="005A2395"/>
    <w:rPr>
      <w:b/>
      <w:bCs/>
    </w:rPr>
  </w:style>
  <w:style w:type="character" w:styleId="Hyperlink">
    <w:name w:val="Hyperlink"/>
    <w:basedOn w:val="DefaultParagraphFont"/>
    <w:locked/>
    <w:rsid w:val="00DB5E6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682"/>
    <w:rPr>
      <w:rFonts w:ascii="Lato" w:eastAsiaTheme="majorEastAsia" w:hAnsi="Lato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0682"/>
    <w:rPr>
      <w:rFonts w:ascii="Lato" w:hAnsi="Lato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0682"/>
    <w:rPr>
      <w:rFonts w:ascii="Lato" w:eastAsiaTheme="majorEastAsia" w:hAnsi="Lato" w:cstheme="majorBidi"/>
      <w:b/>
      <w:bCs/>
      <w:iCs/>
      <w:color w:val="606060"/>
    </w:rPr>
  </w:style>
  <w:style w:type="paragraph" w:customStyle="1" w:styleId="Tables">
    <w:name w:val="Tables"/>
    <w:basedOn w:val="Normal"/>
    <w:link w:val="TablesChar"/>
    <w:qFormat/>
    <w:rsid w:val="00526204"/>
    <w:pPr>
      <w:spacing w:before="60" w:after="60"/>
    </w:pPr>
  </w:style>
  <w:style w:type="character" w:customStyle="1" w:styleId="TablesChar">
    <w:name w:val="Tables Char"/>
    <w:basedOn w:val="DefaultParagraphFont"/>
    <w:link w:val="Tables"/>
    <w:rsid w:val="00526204"/>
    <w:rPr>
      <w:rFonts w:ascii="Lato" w:hAnsi="Lato"/>
    </w:rPr>
  </w:style>
  <w:style w:type="paragraph" w:customStyle="1" w:styleId="Bulletpointlist">
    <w:name w:val="Bullet point list"/>
    <w:basedOn w:val="ListParagraph"/>
    <w:link w:val="BulletpointlistChar"/>
    <w:qFormat/>
    <w:rsid w:val="004E4E96"/>
    <w:pPr>
      <w:numPr>
        <w:numId w:val="1"/>
      </w:numPr>
      <w:spacing w:before="60" w:after="60"/>
      <w:ind w:left="714" w:hanging="357"/>
      <w:contextualSpacing w:val="0"/>
    </w:pPr>
  </w:style>
  <w:style w:type="character" w:customStyle="1" w:styleId="BulletpointlistChar">
    <w:name w:val="Bullet point list Char"/>
    <w:basedOn w:val="DefaultParagraphFont"/>
    <w:link w:val="Bulletpointlist"/>
    <w:rsid w:val="004E4E96"/>
    <w:rPr>
      <w:rFonts w:ascii="Lato" w:hAnsi="Lato"/>
    </w:rPr>
  </w:style>
  <w:style w:type="paragraph" w:styleId="ListParagraph">
    <w:name w:val="List Paragraph"/>
    <w:basedOn w:val="Normal"/>
    <w:uiPriority w:val="34"/>
    <w:rsid w:val="005262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682"/>
    <w:rPr>
      <w:rFonts w:ascii="Lato" w:eastAsiaTheme="majorEastAsia" w:hAnsi="Lato" w:cstheme="majorBidi"/>
      <w:b/>
      <w:bCs/>
      <w:color w:val="606060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20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20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20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20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20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locked/>
    <w:rsid w:val="006411BD"/>
    <w:pPr>
      <w:tabs>
        <w:tab w:val="right" w:pos="10773"/>
      </w:tabs>
      <w:spacing w:before="60" w:after="0"/>
      <w:ind w:left="1134"/>
      <w:outlineLvl w:val="9"/>
    </w:pPr>
    <w:rPr>
      <w:rFonts w:ascii="Lato Black" w:hAnsi="Lato Black"/>
      <w:bCs/>
      <w:color w:val="CB601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411BD"/>
    <w:rPr>
      <w:rFonts w:ascii="Lato Black" w:eastAsiaTheme="majorEastAsia" w:hAnsi="Lato Black" w:cstheme="majorBidi"/>
      <w:b/>
      <w:bCs/>
      <w:color w:val="CB6015"/>
      <w:sz w:val="48"/>
      <w:szCs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204"/>
    <w:pPr>
      <w:outlineLvl w:val="9"/>
    </w:pPr>
    <w:rPr>
      <w:bCs/>
      <w:lang w:bidi="en-US"/>
    </w:rPr>
  </w:style>
  <w:style w:type="paragraph" w:customStyle="1" w:styleId="NTGdepartmentof">
    <w:name w:val="NTG department of"/>
    <w:link w:val="NTGdepartmentofChar"/>
    <w:uiPriority w:val="2"/>
    <w:rsid w:val="005230D7"/>
    <w:pPr>
      <w:spacing w:after="0" w:line="240" w:lineRule="auto"/>
    </w:pPr>
    <w:rPr>
      <w:rFonts w:ascii="Arial" w:eastAsiaTheme="minorHAnsi" w:hAnsi="Arial" w:cs="Lato Regular"/>
      <w:caps/>
      <w:color w:val="231F20"/>
      <w:sz w:val="20"/>
      <w:szCs w:val="24"/>
      <w:u w:color="000000"/>
      <w:lang w:eastAsia="ja-JP"/>
    </w:rPr>
  </w:style>
  <w:style w:type="paragraph" w:customStyle="1" w:styleId="NTGdepartmentname">
    <w:name w:val="NTG department name"/>
    <w:basedOn w:val="NTGdepartmentof"/>
    <w:link w:val="NTGdepartmentnameChar"/>
    <w:uiPriority w:val="2"/>
    <w:rsid w:val="005230D7"/>
    <w:rPr>
      <w:rFonts w:ascii="Arial Black" w:hAnsi="Arial Black" w:cs="Lato Black"/>
    </w:rPr>
  </w:style>
  <w:style w:type="character" w:customStyle="1" w:styleId="NTGdepartmentofChar">
    <w:name w:val="NTG department of Char"/>
    <w:basedOn w:val="DefaultParagraphFont"/>
    <w:link w:val="NTGdepartmentof"/>
    <w:uiPriority w:val="2"/>
    <w:rsid w:val="005230D7"/>
    <w:rPr>
      <w:rFonts w:ascii="Arial" w:eastAsiaTheme="minorHAnsi" w:hAnsi="Arial" w:cs="Lato Regular"/>
      <w:caps/>
      <w:color w:val="231F20"/>
      <w:sz w:val="20"/>
      <w:szCs w:val="24"/>
      <w:u w:color="000000"/>
      <w:lang w:eastAsia="ja-JP"/>
    </w:rPr>
  </w:style>
  <w:style w:type="character" w:customStyle="1" w:styleId="NTGdepartmentnameChar">
    <w:name w:val="NTG department name Char"/>
    <w:basedOn w:val="NTGdepartmentofChar"/>
    <w:link w:val="NTGdepartmentname"/>
    <w:uiPriority w:val="2"/>
    <w:rsid w:val="005230D7"/>
    <w:rPr>
      <w:rFonts w:ascii="Arial Black" w:eastAsiaTheme="minorHAnsi" w:hAnsi="Arial Black" w:cs="Lato Black"/>
      <w:caps/>
      <w:color w:val="231F20"/>
      <w:sz w:val="20"/>
      <w:szCs w:val="24"/>
      <w:u w:color="000000"/>
      <w:lang w:eastAsia="ja-JP"/>
    </w:rPr>
  </w:style>
  <w:style w:type="paragraph" w:customStyle="1" w:styleId="NTGFooter1text">
    <w:name w:val="NTG Footer 1 text"/>
    <w:basedOn w:val="Normal"/>
    <w:link w:val="NTGFooter1textChar"/>
    <w:rsid w:val="005230D7"/>
    <w:pPr>
      <w:spacing w:before="0" w:after="0"/>
    </w:pPr>
    <w:rPr>
      <w:rFonts w:ascii="Arial" w:eastAsiaTheme="minorHAnsi" w:hAnsi="Arial"/>
      <w:lang w:eastAsia="en-US"/>
    </w:rPr>
  </w:style>
  <w:style w:type="character" w:customStyle="1" w:styleId="NTGFooter1textChar">
    <w:name w:val="NTG Footer 1 text Char"/>
    <w:basedOn w:val="DefaultParagraphFont"/>
    <w:link w:val="NTGFooter1text"/>
    <w:rsid w:val="005230D7"/>
    <w:rPr>
      <w:rFonts w:ascii="Arial" w:eastAsiaTheme="minorHAnsi" w:hAnsi="Arial"/>
      <w:lang w:eastAsia="en-US"/>
    </w:rPr>
  </w:style>
  <w:style w:type="table" w:customStyle="1" w:styleId="NTGTable">
    <w:name w:val="NTG Table"/>
    <w:basedOn w:val="TableGrid"/>
    <w:uiPriority w:val="99"/>
    <w:rsid w:val="005230D7"/>
    <w:pPr>
      <w:spacing w:before="0" w:after="40" w:line="240" w:lineRule="auto"/>
    </w:pPr>
    <w:rPr>
      <w:rFonts w:ascii="Arial" w:eastAsiaTheme="minorHAnsi" w:hAnsi="Arial"/>
      <w:lang w:eastAsia="en-US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HeaderChar">
    <w:name w:val="Header Char"/>
    <w:aliases w:val="NTG Page Header Char"/>
    <w:basedOn w:val="DefaultParagraphFont"/>
    <w:link w:val="Header"/>
    <w:uiPriority w:val="99"/>
    <w:rsid w:val="00BE3F7F"/>
    <w:rPr>
      <w:rFonts w:ascii="Lato" w:hAnsi="Lato"/>
    </w:rPr>
  </w:style>
  <w:style w:type="paragraph" w:styleId="Subtitle">
    <w:name w:val="Subtitle"/>
    <w:basedOn w:val="Title"/>
    <w:next w:val="Normal"/>
    <w:link w:val="SubtitleChar"/>
    <w:qFormat/>
    <w:locked/>
    <w:rsid w:val="00AA0682"/>
    <w:pPr>
      <w:ind w:left="0"/>
    </w:pPr>
    <w:rPr>
      <w:rFonts w:ascii="Lato" w:hAnsi="Lato"/>
    </w:rPr>
  </w:style>
  <w:style w:type="character" w:customStyle="1" w:styleId="SubtitleChar">
    <w:name w:val="Subtitle Char"/>
    <w:basedOn w:val="DefaultParagraphFont"/>
    <w:link w:val="Subtitle"/>
    <w:rsid w:val="00AA0682"/>
    <w:rPr>
      <w:rFonts w:ascii="Lato" w:eastAsiaTheme="majorEastAsia" w:hAnsi="Lato" w:cstheme="majorBidi"/>
      <w:b/>
      <w:bCs/>
      <w:color w:val="CB6015"/>
      <w:sz w:val="48"/>
      <w:szCs w:val="48"/>
    </w:rPr>
  </w:style>
  <w:style w:type="paragraph" w:customStyle="1" w:styleId="NTGFooter2">
    <w:name w:val="NTG Footer 2"/>
    <w:basedOn w:val="Normal"/>
    <w:uiPriority w:val="2"/>
    <w:rsid w:val="00BE3F7F"/>
    <w:pPr>
      <w:shd w:val="clear" w:color="auto" w:fill="FDE4D0"/>
      <w:tabs>
        <w:tab w:val="right" w:pos="10065"/>
      </w:tabs>
      <w:spacing w:before="0" w:after="0"/>
      <w:ind w:left="-1134" w:right="-1134"/>
    </w:pPr>
    <w:rPr>
      <w:rFonts w:eastAsiaTheme="minorHAnsi"/>
      <w:sz w:val="20"/>
      <w:lang w:eastAsia="en-US"/>
    </w:rPr>
  </w:style>
  <w:style w:type="paragraph" w:customStyle="1" w:styleId="NTGfooter2smallspace">
    <w:name w:val="NTG footer 2 small space"/>
    <w:basedOn w:val="Normal"/>
    <w:uiPriority w:val="2"/>
    <w:rsid w:val="00BE3F7F"/>
    <w:pPr>
      <w:shd w:val="clear" w:color="auto" w:fill="FDE4D0"/>
      <w:tabs>
        <w:tab w:val="right" w:pos="10065"/>
      </w:tabs>
      <w:spacing w:before="0" w:after="0"/>
      <w:ind w:left="-1134" w:right="-1134"/>
    </w:pPr>
    <w:rPr>
      <w:rFonts w:eastAsiaTheme="minorHAnsi"/>
      <w:noProof/>
      <w:sz w:val="4"/>
      <w:szCs w:val="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0012"/>
    <w:rPr>
      <w:color w:val="808080"/>
    </w:rPr>
  </w:style>
  <w:style w:type="character" w:styleId="CommentReference">
    <w:name w:val="annotation reference"/>
    <w:basedOn w:val="DefaultParagraphFont"/>
    <w:semiHidden/>
    <w:unhideWhenUsed/>
    <w:locked/>
    <w:rsid w:val="005F3E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F3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E1C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F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E1C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character.html" TargetMode="External"/><Relationship Id="rId13" Type="http://schemas.openxmlformats.org/officeDocument/2006/relationships/hyperlink" Target="http://www.businessdictionary.com/definition/performance.html" TargetMode="External"/><Relationship Id="rId18" Type="http://schemas.openxmlformats.org/officeDocument/2006/relationships/hyperlink" Target="http://www.businessdictionary.com/definition/system.html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businessdictionary.com/definition/repair.html" TargetMode="External"/><Relationship Id="rId7" Type="http://schemas.openxmlformats.org/officeDocument/2006/relationships/hyperlink" Target="http://www.businessdictionary.com/definition/change.html" TargetMode="External"/><Relationship Id="rId12" Type="http://schemas.openxmlformats.org/officeDocument/2006/relationships/hyperlink" Target="http://www.businessdictionary.com/definition/feature.html" TargetMode="External"/><Relationship Id="rId17" Type="http://schemas.openxmlformats.org/officeDocument/2006/relationships/hyperlink" Target="http://www.businessdictionary.com/definition/machine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businessdictionary.com/definition/condition.html" TargetMode="External"/><Relationship Id="rId20" Type="http://schemas.openxmlformats.org/officeDocument/2006/relationships/hyperlink" Target="http://www.businessdictionary.com/definition/period.html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dictionary.com/definition/wear-and-tear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usinessdictionary.com/definition/device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businessdictionary.com/definition/condition.html" TargetMode="External"/><Relationship Id="rId19" Type="http://schemas.openxmlformats.org/officeDocument/2006/relationships/hyperlink" Target="http://www.businessdictionary.com/definition/condi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dictionary.com/definition/structure.html" TargetMode="External"/><Relationship Id="rId14" Type="http://schemas.openxmlformats.org/officeDocument/2006/relationships/hyperlink" Target="http://www.businessdictionary.com/definition/restoration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2ah\AppData\Local\Hewlett-Packard\HP%20TRIM\TEMP\HPTRIM.4220\EDOC2017%2077308%20%20Administrative%20Fact%20Sheet%20or%20Handout%20(A4)%20Template%20-%20Do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414C4931AF49DFA5F52AF19A46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9FB8-8AFC-41FD-A246-7AEBD1711526}"/>
      </w:docPartPr>
      <w:docPartBody>
        <w:p w:rsidR="00594B8C" w:rsidRDefault="0096593F" w:rsidP="0096593F">
          <w:pPr>
            <w:pStyle w:val="93414C4931AF49DFA5F52AF19A46A936"/>
          </w:pPr>
          <w:r w:rsidRPr="007816F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F"/>
    <w:rsid w:val="000C3FED"/>
    <w:rsid w:val="00315505"/>
    <w:rsid w:val="00594B8C"/>
    <w:rsid w:val="008A2B4E"/>
    <w:rsid w:val="00925ED2"/>
    <w:rsid w:val="0096593F"/>
    <w:rsid w:val="00B4362A"/>
    <w:rsid w:val="00D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25ED2"/>
    <w:rPr>
      <w:color w:val="808080"/>
    </w:rPr>
  </w:style>
  <w:style w:type="paragraph" w:customStyle="1" w:styleId="3C4E262477EA4E3393483F610EA266E8">
    <w:name w:val="3C4E262477EA4E3393483F610EA266E8"/>
  </w:style>
  <w:style w:type="paragraph" w:customStyle="1" w:styleId="93414C4931AF49DFA5F52AF19A46A936">
    <w:name w:val="93414C4931AF49DFA5F52AF19A46A936"/>
    <w:rsid w:val="0096593F"/>
  </w:style>
  <w:style w:type="paragraph" w:customStyle="1" w:styleId="C8C260D62B6B4119A78743F6FD7BE1CE">
    <w:name w:val="C8C260D62B6B4119A78743F6FD7BE1CE"/>
    <w:rsid w:val="00925ED2"/>
  </w:style>
  <w:style w:type="paragraph" w:customStyle="1" w:styleId="34FDEF783CEB4E5AA6856E0BEDE9956F">
    <w:name w:val="34FDEF783CEB4E5AA6856E0BEDE9956F"/>
    <w:rsid w:val="00925ED2"/>
  </w:style>
  <w:style w:type="paragraph" w:customStyle="1" w:styleId="34FDEF783CEB4E5AA6856E0BEDE9956F1">
    <w:name w:val="34FDEF783CEB4E5AA6856E0BEDE9956F1"/>
    <w:rsid w:val="00925ED2"/>
    <w:pPr>
      <w:spacing w:before="120" w:after="120" w:line="240" w:lineRule="auto"/>
    </w:pPr>
    <w:rPr>
      <w:rFonts w:ascii="Lato" w:hAnsi="Lato"/>
    </w:rPr>
  </w:style>
  <w:style w:type="paragraph" w:customStyle="1" w:styleId="34FDEF783CEB4E5AA6856E0BEDE9956F2">
    <w:name w:val="34FDEF783CEB4E5AA6856E0BEDE9956F2"/>
    <w:rsid w:val="00925ED2"/>
    <w:pPr>
      <w:spacing w:before="120" w:after="120" w:line="240" w:lineRule="auto"/>
    </w:pPr>
    <w:rPr>
      <w:rFonts w:ascii="Lato" w:hAnsi="Lato"/>
    </w:rPr>
  </w:style>
  <w:style w:type="paragraph" w:customStyle="1" w:styleId="5BA1BD0309AA4368A4E5FFF59CEEE7F7">
    <w:name w:val="5BA1BD0309AA4368A4E5FFF59CEEE7F7"/>
    <w:rsid w:val="00925ED2"/>
  </w:style>
  <w:style w:type="paragraph" w:customStyle="1" w:styleId="E31C1DA0D05D4240A72B1A10D7D57B25">
    <w:name w:val="E31C1DA0D05D4240A72B1A10D7D57B25"/>
    <w:rsid w:val="00925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EDOC2017 77308  Administrative Fact Sheet or Handout (A4) Template - DoH.DOTX</Template>
  <TotalTime>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Territory Equipment Program (TEP) Glossary (GL)</vt:lpstr>
    </vt:vector>
  </TitlesOfParts>
  <Company>Northern Territory Government</Company>
  <LinksUpToDate>false</LinksUpToDate>
  <CharactersWithSpaces>7568</CharactersWithSpaces>
  <SharedDoc>false</SharedDoc>
  <HLinks>
    <vt:vector size="12" baseType="variant">
      <vt:variant>
        <vt:i4>6226004</vt:i4>
      </vt:variant>
      <vt:variant>
        <vt:i4>21</vt:i4>
      </vt:variant>
      <vt:variant>
        <vt:i4>0</vt:i4>
      </vt:variant>
      <vt:variant>
        <vt:i4>5</vt:i4>
      </vt:variant>
      <vt:variant>
        <vt:lpwstr>http://www.nt.gov.au/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http://www.nt.gov.au/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Territory Equipment Program (TEP) Glossary (GL)</dc:title>
  <dc:creator>Northern Territory Government</dc:creator>
  <cp:keywords/>
  <dc:description/>
  <cp:lastModifiedBy>Wendy Skewes</cp:lastModifiedBy>
  <cp:revision>1</cp:revision>
  <cp:lastPrinted>2010-12-30T01:59:00Z</cp:lastPrinted>
  <dcterms:created xsi:type="dcterms:W3CDTF">2021-02-05T06:28:00Z</dcterms:created>
  <dcterms:modified xsi:type="dcterms:W3CDTF">2022-08-24T03:29:00Z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0x010100370F03DA7C830644B9E8B53AEDFF05BE010400831F7A064BB20E47953FCC01818A144B</vt:lpwstr>
  </property>
  <property fmtid="{D5CDD505-2E9C-101B-9397-08002B2CF9AE}" pid="3" name="_dlc_DocIdItemGuid">
    <vt:lpwstr>c3fb881d-0878-44a5-a937-e1c6d94cd3d2</vt:lpwstr>
  </property>
  <property fmtid="{D5CDD505-2E9C-101B-9397-08002B2CF9AE}" pid="4" name="Organisational/Business Unit">
    <vt:lpwstr>2697;#Office of Disability|b3597fc7-f175-40a2-a90b-d559ffb13cf9</vt:lpwstr>
  </property>
  <property fmtid="{D5CDD505-2E9C-101B-9397-08002B2CF9AE}" pid="5" name="Jurisdiction">
    <vt:lpwstr>1217;#Northern Territory|736d77f0-bb80-4ab7-ac58-c24c201fccef</vt:lpwstr>
  </property>
  <property fmtid="{D5CDD505-2E9C-101B-9397-08002B2CF9AE}" pid="6" name="Approval Authority Title">
    <vt:lpwstr>2589;#Director Disability Services|3c429d88-21ed-4adb-8da4-9d3ba050143b</vt:lpwstr>
  </property>
  <property fmtid="{D5CDD505-2E9C-101B-9397-08002B2CF9AE}" pid="7" name="Accreditation Framework">
    <vt:lpwstr/>
  </property>
  <property fmtid="{D5CDD505-2E9C-101B-9397-08002B2CF9AE}" pid="8" name="External Target Audience">
    <vt:lpwstr>173;#General Public|ebc476f8-a3a6-4109-87c6-065ec75d4604</vt:lpwstr>
  </property>
  <property fmtid="{D5CDD505-2E9C-101B-9397-08002B2CF9AE}" pid="9" name="Clinical Topics">
    <vt:lpwstr/>
  </property>
  <property fmtid="{D5CDD505-2E9C-101B-9397-08002B2CF9AE}" pid="10" name="Jurisdiction Exclusion">
    <vt:lpwstr>942;#N/A|99ff0359-15e2-4211-8211-ee91e64e473f</vt:lpwstr>
  </property>
  <property fmtid="{D5CDD505-2E9C-101B-9397-08002B2CF9AE}" pid="11" name="Document Type">
    <vt:lpwstr>1903;#Resource|1f77e471-7ad7-40d2-9e44-120f82b21e6e</vt:lpwstr>
  </property>
  <property fmtid="{D5CDD505-2E9C-101B-9397-08002B2CF9AE}" pid="12" name="Administrative Topic">
    <vt:lpwstr>1687;#Abbreviations|1adca8ee-7722-475d-850f-aeef675fec8e</vt:lpwstr>
  </property>
  <property fmtid="{D5CDD505-2E9C-101B-9397-08002B2CF9AE}" pid="13" name="Collection Name">
    <vt:lpwstr>2820;#Forms Agreements DEP|e6194f4c-9212-43c9-b48a-7665a39c5b74</vt:lpwstr>
  </property>
  <property fmtid="{D5CDD505-2E9C-101B-9397-08002B2CF9AE}" pid="14" name="Internal Target Audience">
    <vt:lpwstr>250;#All Employees|02f6c488-74a6-413b-96f9-2df5a40afa0e</vt:lpwstr>
  </property>
  <property fmtid="{D5CDD505-2E9C-101B-9397-08002B2CF9AE}" pid="15" name="Document Owner - Job Title - New">
    <vt:lpwstr>24133;#Senior Manager Community Allied Health and Aged Care CAHS|78962fd5-aba8-471e-99a6-8a236ce73654</vt:lpwstr>
  </property>
  <property fmtid="{D5CDD505-2E9C-101B-9397-08002B2CF9AE}" pid="16" name="Lifecycle Status">
    <vt:lpwstr>Approved</vt:lpwstr>
  </property>
  <property fmtid="{D5CDD505-2E9C-101B-9397-08002B2CF9AE}" pid="17" name="Document Owner - Job Title">
    <vt:lpwstr>Senior Policy Officer Office of Disability</vt:lpwstr>
  </property>
  <property fmtid="{D5CDD505-2E9C-101B-9397-08002B2CF9AE}" pid="18" name="DocumentOwnerTitle-SG">
    <vt:lpwstr>Senior Policy Officer Disability Services DoH</vt:lpwstr>
  </property>
  <property fmtid="{D5CDD505-2E9C-101B-9397-08002B2CF9AE}" pid="19" name="Jurisdiction-SG">
    <vt:lpwstr>Northern Territory</vt:lpwstr>
  </property>
  <property fmtid="{D5CDD505-2E9C-101B-9397-08002B2CF9AE}" pid="20" name="Jurisdiction Exclusion.">
    <vt:lpwstr>12827;#N/A|a6d83873-ca56-432a-9c58-398a3757bbda</vt:lpwstr>
  </property>
  <property fmtid="{D5CDD505-2E9C-101B-9397-08002B2CF9AE}" pid="21" name="InternalTargetAud-SG">
    <vt:lpwstr>All Employees</vt:lpwstr>
  </property>
  <property fmtid="{D5CDD505-2E9C-101B-9397-08002B2CF9AE}" pid="22" name="Organisational/Business Unit Owner">
    <vt:lpwstr>24269;#Primary and Public Health Care Urban CAHS|a2029188-f5da-4be3-92d8-1e4c86654d22</vt:lpwstr>
  </property>
  <property fmtid="{D5CDD505-2E9C-101B-9397-08002B2CF9AE}" pid="23" name="Accreditation Framework.">
    <vt:lpwstr/>
  </property>
  <property fmtid="{D5CDD505-2E9C-101B-9397-08002B2CF9AE}" pid="24" name="Approval Authority Title.">
    <vt:lpwstr>12886;#Chief Operating Officer CAHS|ce97576d-c97f-457a-99b8-e1ef97a531c1;#12883;#Chief Operating Officer TEHS|e84dca3d-00c5-4efb-8f8b-b01dfa24c8de</vt:lpwstr>
  </property>
  <property fmtid="{D5CDD505-2E9C-101B-9397-08002B2CF9AE}" pid="25" name="Jurisdiction Exclusion-SG">
    <vt:lpwstr>N/A</vt:lpwstr>
  </property>
  <property fmtid="{D5CDD505-2E9C-101B-9397-08002B2CF9AE}" pid="26" name="Document Type.">
    <vt:lpwstr>13179;#Resource|670a180a-0c43-4640-b109-ef0dc8aaf00d</vt:lpwstr>
  </property>
  <property fmtid="{D5CDD505-2E9C-101B-9397-08002B2CF9AE}" pid="27" name="Internal Target Audience.">
    <vt:lpwstr>13118;#All Clinical Employees|a9c9a07b-b666-48ba-894e-921b992897a4</vt:lpwstr>
  </property>
  <property fmtid="{D5CDD505-2E9C-101B-9397-08002B2CF9AE}" pid="28" name="URL">
    <vt:lpwstr/>
  </property>
  <property fmtid="{D5CDD505-2E9C-101B-9397-08002B2CF9AE}" pid="29" name="Jurisdiction.">
    <vt:lpwstr>13205;#Northern Territory|b41073dc-cb61-4d50-a514-5c664bf30dec</vt:lpwstr>
  </property>
  <property fmtid="{D5CDD505-2E9C-101B-9397-08002B2CF9AE}" pid="30" name="Administrative Topic.">
    <vt:lpwstr>14693;#Equipment Maintenance|94418ea0-2d6f-4e52-8c49-db40a3387540</vt:lpwstr>
  </property>
  <property fmtid="{D5CDD505-2E9C-101B-9397-08002B2CF9AE}" pid="31" name="External Target Audience.">
    <vt:lpwstr/>
  </property>
  <property fmtid="{D5CDD505-2E9C-101B-9397-08002B2CF9AE}" pid="32" name="ApprovalAuthorityTitle-SG">
    <vt:lpwstr>Senior Director Office of Disability</vt:lpwstr>
  </property>
  <property fmtid="{D5CDD505-2E9C-101B-9397-08002B2CF9AE}" pid="33" name="Collection Name.">
    <vt:lpwstr>19975;#Forms Agreements DEP|9bdb0612-962f-4a69-93a1-3fbf9bf763d3</vt:lpwstr>
  </property>
</Properties>
</file>