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0" w:type="auto"/>
        <w:tblInd w:w="0" w:type="dxa"/>
        <w:tblLook w:val="0120" w:firstRow="1" w:lastRow="0" w:firstColumn="0" w:lastColumn="1" w:noHBand="0" w:noVBand="0"/>
      </w:tblPr>
      <w:tblGrid>
        <w:gridCol w:w="2717"/>
        <w:gridCol w:w="643"/>
        <w:gridCol w:w="1597"/>
        <w:gridCol w:w="1764"/>
        <w:gridCol w:w="3361"/>
      </w:tblGrid>
      <w:tr w:rsidR="00B968DA" w14:paraId="46AFCD2B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082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4951768" w14:textId="79FD66B3" w:rsidR="00B968DA" w:rsidRDefault="005B336A" w:rsidP="0057058E">
            <w:pPr>
              <w:jc w:val="center"/>
            </w:pPr>
            <w:bookmarkStart w:id="0" w:name="_GoBack"/>
            <w:bookmarkEnd w:id="0"/>
            <w:r>
              <w:rPr>
                <w:w w:val="105"/>
              </w:rPr>
              <w:t xml:space="preserve">Document </w:t>
            </w:r>
            <w:r w:rsidR="00B968DA">
              <w:rPr>
                <w:w w:val="105"/>
              </w:rPr>
              <w:t>Metadata</w:t>
            </w:r>
          </w:p>
        </w:tc>
      </w:tr>
      <w:tr w:rsidR="00B968DA" w14:paraId="73180F99" w14:textId="77777777" w:rsidTr="0057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5EC30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Target Audience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6D1700" w14:textId="32150A4E" w:rsidR="00B968DA" w:rsidRPr="00D8493C" w:rsidRDefault="0057058E" w:rsidP="004A5156">
            <w:r>
              <w:t>All Clinical Employees</w:t>
            </w:r>
            <w:r w:rsidR="00E679D4">
              <w:t>;</w:t>
            </w:r>
          </w:p>
        </w:tc>
      </w:tr>
      <w:tr w:rsidR="00B968DA" w14:paraId="1BB94942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8FE66F9" w14:textId="04F5125D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 xml:space="preserve">Jurisdiction </w:t>
            </w:r>
          </w:p>
          <w:p w14:paraId="12C11E9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Jurisdiction Exclusions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24414002" w14:textId="089B829D" w:rsidR="00B968DA" w:rsidRDefault="0057058E" w:rsidP="004A5156">
            <w:r>
              <w:t>NT Health</w:t>
            </w:r>
            <w:r w:rsidR="00E679D4">
              <w:t>;</w:t>
            </w:r>
          </w:p>
          <w:p w14:paraId="33533F89" w14:textId="51109BFF" w:rsidR="0057058E" w:rsidRPr="00D8493C" w:rsidRDefault="0057058E" w:rsidP="004A5156">
            <w:r>
              <w:t>N/A</w:t>
            </w:r>
            <w:r w:rsidR="00E679D4">
              <w:t>;</w:t>
            </w:r>
          </w:p>
        </w:tc>
      </w:tr>
      <w:tr w:rsidR="00B968DA" w14:paraId="69A43EEF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E3C1E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Document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1F75C0DD" w14:textId="77777777" w:rsidR="00B968DA" w:rsidRDefault="00E93270" w:rsidP="004A5156">
            <w:r>
              <w:t xml:space="preserve">Michelle Foley </w:t>
            </w:r>
          </w:p>
          <w:p w14:paraId="4774DF38" w14:textId="6DB3C77C" w:rsidR="00C50CF5" w:rsidRPr="00D8493C" w:rsidRDefault="00D06BF2" w:rsidP="00384979">
            <w:r>
              <w:t>Senior Manager Community Allied Health and Aged Care</w:t>
            </w:r>
            <w:r w:rsidR="00384979">
              <w:t>;</w:t>
            </w:r>
            <w:r>
              <w:t xml:space="preserve"> </w:t>
            </w:r>
          </w:p>
        </w:tc>
      </w:tr>
      <w:tr w:rsidR="00B968DA" w14:paraId="542E3200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D0F3DA0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Approval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FC691BB" w14:textId="21B3BE38" w:rsidR="00391686" w:rsidRDefault="00391686" w:rsidP="00391686">
            <w:pPr>
              <w:rPr>
                <w:lang w:eastAsia="en-AU"/>
              </w:rPr>
            </w:pPr>
            <w:r>
              <w:rPr>
                <w:lang w:eastAsia="en-AU"/>
              </w:rPr>
              <w:t>Tanya Taylor</w:t>
            </w:r>
          </w:p>
          <w:p w14:paraId="441AD36F" w14:textId="6C607CF2" w:rsidR="0057058E" w:rsidRPr="0057058E" w:rsidRDefault="00391686" w:rsidP="00840F17">
            <w:r>
              <w:t>Director Urban Services;</w:t>
            </w:r>
          </w:p>
        </w:tc>
      </w:tr>
      <w:tr w:rsidR="00B968DA" w14:paraId="0730C3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40FA54" w14:textId="77777777" w:rsidR="00B968DA" w:rsidRPr="00DD4B5A" w:rsidRDefault="00B968DA" w:rsidP="004A5156">
            <w:pPr>
              <w:rPr>
                <w:b/>
              </w:rPr>
            </w:pPr>
            <w:r w:rsidRPr="00DD4B5A">
              <w:rPr>
                <w:b/>
              </w:rPr>
              <w:t>Author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6D01133" w14:textId="40594098" w:rsidR="00B968DA" w:rsidRPr="00DD4B5A" w:rsidRDefault="00B968DA" w:rsidP="004A5156">
            <w:pPr>
              <w:tabs>
                <w:tab w:val="left" w:pos="10206"/>
              </w:tabs>
              <w:rPr>
                <w:lang w:eastAsia="en-AU"/>
              </w:rPr>
            </w:pPr>
          </w:p>
        </w:tc>
      </w:tr>
      <w:tr w:rsidR="003A55C2" w14:paraId="4FC535EE" w14:textId="77777777" w:rsidTr="00DD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CB7D0C" w14:textId="672CFF20" w:rsidR="003A55C2" w:rsidRDefault="003A55C2" w:rsidP="00DD4B5A">
            <w:r w:rsidRPr="00E179BF">
              <w:rPr>
                <w:b/>
              </w:rPr>
              <w:t>PGC/SharePoint ID: HEALTHINTRA-</w:t>
            </w:r>
            <w:r w:rsidR="00DD4B5A">
              <w:t>1880-8384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D891A5D" w14:textId="1CE13257" w:rsidR="003A55C2" w:rsidRPr="00D8493C" w:rsidRDefault="003A55C2" w:rsidP="00DD4B5A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E179BF">
              <w:rPr>
                <w:b/>
                <w:color w:val="000000"/>
                <w:lang w:eastAsia="en-AU"/>
              </w:rPr>
              <w:t>PGC/Content Manager ID:</w:t>
            </w:r>
            <w:r w:rsidRPr="00D8493C">
              <w:rPr>
                <w:color w:val="000000"/>
                <w:lang w:eastAsia="en-AU"/>
              </w:rPr>
              <w:t xml:space="preserve"> EDOC</w:t>
            </w:r>
            <w:r w:rsidR="00DD4B5A">
              <w:rPr>
                <w:color w:val="000000"/>
                <w:lang w:eastAsia="en-AU"/>
              </w:rPr>
              <w:t>2018/42409</w:t>
            </w:r>
          </w:p>
        </w:tc>
      </w:tr>
      <w:tr w:rsidR="00B968DA" w14:paraId="3721CB3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2E0DCE" w14:textId="0708C51E" w:rsidR="00B968DA" w:rsidRPr="00D06BF2" w:rsidRDefault="00B968DA" w:rsidP="004A5156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E179BF">
              <w:rPr>
                <w:b/>
                <w:color w:val="000000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r w:rsidR="00D40DE8">
              <w:rPr>
                <w:iCs/>
                <w:color w:val="999999"/>
                <w:sz w:val="16"/>
              </w:rPr>
              <w:t>Version: 4.0</w:t>
            </w:r>
            <w:r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D49651" w14:textId="068A1741" w:rsidR="00B968DA" w:rsidRPr="00D8493C" w:rsidRDefault="008D0780" w:rsidP="001A0938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Approved Date: </w:t>
            </w:r>
            <w:r w:rsidR="001A0938">
              <w:rPr>
                <w:color w:val="000000"/>
                <w:lang w:eastAsia="en-AU"/>
              </w:rPr>
              <w:t>03/03/2022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7976C47" w14:textId="2438D1EC" w:rsidR="0057058E" w:rsidRPr="00D8493C" w:rsidRDefault="00B968DA" w:rsidP="004A5156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R</w:t>
            </w:r>
            <w:r w:rsidR="008D0780">
              <w:rPr>
                <w:color w:val="000000"/>
                <w:lang w:eastAsia="en-AU"/>
              </w:rPr>
              <w:t>eview Date: 01/02/2024</w:t>
            </w:r>
          </w:p>
        </w:tc>
      </w:tr>
      <w:tr w:rsidR="00B968DA" w14:paraId="69DD1B5F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82" w:type="dxa"/>
            <w:gridSpan w:val="5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67ECF22" w14:textId="77777777" w:rsidR="00B968DA" w:rsidRPr="009736C1" w:rsidRDefault="00B968DA" w:rsidP="004A515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eastAsia="en-AU"/>
              </w:rPr>
            </w:pPr>
            <w:r w:rsidRPr="009736C1">
              <w:rPr>
                <w:sz w:val="18"/>
                <w:szCs w:val="18"/>
                <w:lang w:eastAsia="en-AU"/>
              </w:rPr>
              <w:t>This is a NT Health Policy Guidelines Centre (PGC) Approved and Controlled document. Uncontrolled if printed.</w:t>
            </w:r>
          </w:p>
        </w:tc>
      </w:tr>
    </w:tbl>
    <w:p w14:paraId="1433AD7A" w14:textId="77777777" w:rsidR="00B968DA" w:rsidRDefault="00B968DA" w:rsidP="00B968DA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Purpose</w:t>
      </w:r>
    </w:p>
    <w:p w14:paraId="0A975F24" w14:textId="48AB0F22" w:rsidR="00E93270" w:rsidRPr="0025185A" w:rsidRDefault="00E93270" w:rsidP="00E93270">
      <w:pPr>
        <w:rPr>
          <w:rFonts w:asciiTheme="minorHAnsi" w:hAnsiTheme="minorHAnsi"/>
        </w:rPr>
      </w:pPr>
      <w:r>
        <w:t>The purpose of this guideline is to specify Territory Equipment Program (TEP) funding criteria for thi</w:t>
      </w:r>
      <w:r w:rsidR="00150CDE">
        <w:t xml:space="preserve">s group of assistive technology, clarify the items provided </w:t>
      </w:r>
      <w:r>
        <w:t>and provide a basis for consistent and transparent decision making.</w:t>
      </w:r>
    </w:p>
    <w:p w14:paraId="2616FAFB" w14:textId="00489149" w:rsidR="003A55C2" w:rsidRDefault="003A55C2" w:rsidP="003A55C2">
      <w:pPr>
        <w:pStyle w:val="Heading1"/>
        <w:rPr>
          <w:lang w:eastAsia="en-AU"/>
        </w:rPr>
      </w:pPr>
      <w:r>
        <w:rPr>
          <w:lang w:eastAsia="en-AU"/>
        </w:rPr>
        <w:t xml:space="preserve">Guideline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6486"/>
      </w:tblGrid>
      <w:tr w:rsidR="00E93270" w:rsidRPr="00336555" w14:paraId="1A0A4044" w14:textId="77777777" w:rsidTr="00392CA5">
        <w:tc>
          <w:tcPr>
            <w:tcW w:w="5000" w:type="pct"/>
            <w:gridSpan w:val="2"/>
            <w:shd w:val="clear" w:color="auto" w:fill="F3F3F3"/>
          </w:tcPr>
          <w:p w14:paraId="41C41299" w14:textId="77777777" w:rsidR="00E93270" w:rsidRPr="0099734C" w:rsidRDefault="00E93270" w:rsidP="00392CA5">
            <w:pPr>
              <w:rPr>
                <w:b/>
              </w:rPr>
            </w:pPr>
            <w:r w:rsidRPr="0099734C">
              <w:rPr>
                <w:b/>
                <w:bCs/>
                <w:iCs/>
                <w:shd w:val="clear" w:color="auto" w:fill="F3F3F3"/>
              </w:rPr>
              <w:t>Devices which can be used to alert an emergency contact, such as a monitoring service (monitored alarm system) or a friend, family member or neighbour directly (non-monitored alarm system) if there is an emergency situation.</w:t>
            </w:r>
          </w:p>
        </w:tc>
      </w:tr>
      <w:tr w:rsidR="00E93270" w:rsidRPr="00336555" w14:paraId="20BD7447" w14:textId="77777777" w:rsidTr="00384979">
        <w:tc>
          <w:tcPr>
            <w:tcW w:w="1854" w:type="pct"/>
            <w:shd w:val="clear" w:color="auto" w:fill="002060"/>
          </w:tcPr>
          <w:p w14:paraId="16502B86" w14:textId="77777777" w:rsidR="00E93270" w:rsidRPr="00336555" w:rsidRDefault="00E93270" w:rsidP="00392CA5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Includes</w:t>
            </w:r>
          </w:p>
        </w:tc>
        <w:tc>
          <w:tcPr>
            <w:tcW w:w="3146" w:type="pct"/>
            <w:shd w:val="clear" w:color="auto" w:fill="002060"/>
          </w:tcPr>
          <w:p w14:paraId="1CA27DB6" w14:textId="77777777" w:rsidR="00E93270" w:rsidRPr="00336555" w:rsidRDefault="00E93270" w:rsidP="00392CA5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Eligible Prescribers</w:t>
            </w:r>
          </w:p>
        </w:tc>
      </w:tr>
      <w:tr w:rsidR="00E93270" w:rsidRPr="00336555" w14:paraId="515995BA" w14:textId="77777777" w:rsidTr="00384979">
        <w:tc>
          <w:tcPr>
            <w:tcW w:w="1854" w:type="pct"/>
          </w:tcPr>
          <w:p w14:paraId="1F22945F" w14:textId="77777777" w:rsidR="00E93270" w:rsidRPr="00336555" w:rsidRDefault="00E93270" w:rsidP="00392CA5">
            <w:pPr>
              <w:spacing w:before="60" w:after="60"/>
              <w:rPr>
                <w:b/>
                <w:bCs/>
                <w:iCs/>
              </w:rPr>
            </w:pPr>
            <w:r w:rsidRPr="00336555">
              <w:rPr>
                <w:b/>
                <w:bCs/>
                <w:iCs/>
              </w:rPr>
              <w:t>Level 1 General Equipment</w:t>
            </w:r>
          </w:p>
          <w:p w14:paraId="0CA2CC6B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Monitored Alarm System</w:t>
            </w:r>
          </w:p>
          <w:p w14:paraId="5C88D86C" w14:textId="77777777" w:rsidR="00E93270" w:rsidRPr="00DC3277" w:rsidRDefault="00E93270" w:rsidP="00392CA5">
            <w:pPr>
              <w:ind w:left="357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DC3277">
              <w:rPr>
                <w:rFonts w:cs="Arial"/>
              </w:rPr>
              <w:t>Initial set up and installatio</w:t>
            </w:r>
            <w:r>
              <w:rPr>
                <w:rFonts w:cs="Arial"/>
              </w:rPr>
              <w:t>n of personal alarm system only)</w:t>
            </w:r>
          </w:p>
          <w:p w14:paraId="08E37FE1" w14:textId="2E2FB938" w:rsidR="00E93270" w:rsidRPr="00336555" w:rsidRDefault="00E93270" w:rsidP="00392CA5">
            <w:pPr>
              <w:numPr>
                <w:ilvl w:val="0"/>
                <w:numId w:val="10"/>
              </w:numPr>
              <w:spacing w:before="60" w:after="60"/>
            </w:pPr>
            <w:r w:rsidRPr="00DC3277">
              <w:rPr>
                <w:rFonts w:cs="Arial"/>
              </w:rPr>
              <w:t>Non</w:t>
            </w:r>
            <w:r>
              <w:rPr>
                <w:rFonts w:cs="Arial"/>
              </w:rPr>
              <w:t>-</w:t>
            </w:r>
            <w:r w:rsidRPr="00DC3277">
              <w:rPr>
                <w:rFonts w:cs="Arial"/>
              </w:rPr>
              <w:t>monitored Alarm System</w:t>
            </w:r>
            <w:r>
              <w:rPr>
                <w:rFonts w:cs="Arial"/>
              </w:rPr>
              <w:br/>
            </w:r>
            <w:r w:rsidRPr="00DC3277">
              <w:rPr>
                <w:rFonts w:cs="Arial"/>
              </w:rPr>
              <w:t>e</w:t>
            </w:r>
            <w:r w:rsidR="007E1418">
              <w:rPr>
                <w:rFonts w:cs="Arial"/>
              </w:rPr>
              <w:t>.</w:t>
            </w:r>
            <w:r w:rsidRPr="00DC3277">
              <w:rPr>
                <w:rFonts w:cs="Arial"/>
              </w:rPr>
              <w:t>g. Care Alert</w:t>
            </w:r>
          </w:p>
        </w:tc>
        <w:tc>
          <w:tcPr>
            <w:tcW w:w="3146" w:type="pct"/>
          </w:tcPr>
          <w:p w14:paraId="1AAD89A5" w14:textId="77777777" w:rsidR="00E93270" w:rsidRPr="00336555" w:rsidRDefault="00E93270" w:rsidP="00392CA5">
            <w:pPr>
              <w:spacing w:before="60" w:after="60"/>
            </w:pPr>
            <w:r w:rsidRPr="00336555">
              <w:t>Occupational Therapist</w:t>
            </w:r>
          </w:p>
          <w:p w14:paraId="0E864D8B" w14:textId="77777777" w:rsidR="00E93270" w:rsidRPr="00336555" w:rsidRDefault="00E93270" w:rsidP="00392CA5">
            <w:pPr>
              <w:spacing w:before="60" w:after="60"/>
            </w:pPr>
          </w:p>
        </w:tc>
      </w:tr>
      <w:tr w:rsidR="00E93270" w:rsidRPr="00336555" w14:paraId="2CF991F0" w14:textId="77777777" w:rsidTr="00384979">
        <w:tc>
          <w:tcPr>
            <w:tcW w:w="1854" w:type="pct"/>
          </w:tcPr>
          <w:p w14:paraId="74D1DE4D" w14:textId="77777777" w:rsidR="00E93270" w:rsidRPr="00336555" w:rsidRDefault="00E93270" w:rsidP="00392CA5">
            <w:pPr>
              <w:spacing w:before="60" w:after="60"/>
              <w:rPr>
                <w:b/>
                <w:bCs/>
                <w:iCs/>
              </w:rPr>
            </w:pPr>
            <w:r w:rsidRPr="00336555">
              <w:rPr>
                <w:b/>
                <w:bCs/>
                <w:iCs/>
              </w:rPr>
              <w:t>Level 2 General Equipment</w:t>
            </w:r>
          </w:p>
          <w:p w14:paraId="324A3918" w14:textId="77777777" w:rsidR="00E93270" w:rsidRPr="00336555" w:rsidRDefault="00E93270" w:rsidP="00392CA5">
            <w:pPr>
              <w:numPr>
                <w:ilvl w:val="0"/>
                <w:numId w:val="10"/>
              </w:numPr>
              <w:spacing w:before="60" w:after="60"/>
            </w:pPr>
            <w:r w:rsidRPr="00DC3277">
              <w:rPr>
                <w:rFonts w:cs="Arial"/>
                <w:bCs/>
              </w:rPr>
              <w:t>Not applicable</w:t>
            </w:r>
          </w:p>
        </w:tc>
        <w:tc>
          <w:tcPr>
            <w:tcW w:w="3146" w:type="pct"/>
          </w:tcPr>
          <w:p w14:paraId="647D10C7" w14:textId="77777777" w:rsidR="00E93270" w:rsidRPr="00336555" w:rsidRDefault="00E93270" w:rsidP="00392CA5">
            <w:pPr>
              <w:spacing w:before="60" w:after="60"/>
            </w:pPr>
          </w:p>
        </w:tc>
      </w:tr>
      <w:tr w:rsidR="00E93270" w:rsidRPr="00336555" w14:paraId="59FFF8BF" w14:textId="77777777" w:rsidTr="0038497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D607063" w14:textId="77777777" w:rsidR="00E93270" w:rsidRPr="00336555" w:rsidRDefault="00E93270" w:rsidP="00392CA5">
            <w:pPr>
              <w:spacing w:before="60" w:after="60"/>
              <w:rPr>
                <w:b/>
                <w:bCs/>
              </w:rPr>
            </w:pPr>
            <w:r w:rsidRPr="00336555">
              <w:rPr>
                <w:b/>
                <w:bCs/>
              </w:rPr>
              <w:t>Excludes:</w:t>
            </w:r>
          </w:p>
          <w:p w14:paraId="77C47BC0" w14:textId="77777777" w:rsidR="00E93270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C3277">
              <w:rPr>
                <w:rFonts w:cs="Arial"/>
              </w:rPr>
              <w:t>obile phones, cordless phones, intercoms, buzzers or installation of landlines, additional pendants</w:t>
            </w:r>
          </w:p>
          <w:p w14:paraId="47CC6345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Ongoing recharge of SIM cards </w:t>
            </w:r>
          </w:p>
          <w:p w14:paraId="070924E9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lastRenderedPageBreak/>
              <w:t>Ongoing rental of monitored system</w:t>
            </w:r>
          </w:p>
          <w:p w14:paraId="04D9C621" w14:textId="52EB1F32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Installation of additional power points (Electricity General Purpose Outlet</w:t>
            </w:r>
            <w:r>
              <w:rPr>
                <w:rFonts w:cs="Arial"/>
              </w:rPr>
              <w:t xml:space="preserve"> (GPO)</w:t>
            </w:r>
            <w:r w:rsidRPr="00DC3277">
              <w:rPr>
                <w:rFonts w:cs="Arial"/>
              </w:rPr>
              <w:t xml:space="preserve"> to meet </w:t>
            </w:r>
            <w:r>
              <w:rPr>
                <w:rFonts w:cs="Arial"/>
              </w:rPr>
              <w:t>alarm installation requirements</w:t>
            </w:r>
          </w:p>
          <w:p w14:paraId="31929E68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Provision and</w:t>
            </w:r>
            <w:r w:rsidRPr="00DC3277">
              <w:rPr>
                <w:rFonts w:cs="Arial"/>
              </w:rPr>
              <w:t>/or installation of Mode 3 wiring or adapt</w:t>
            </w:r>
            <w:r>
              <w:rPr>
                <w:rFonts w:cs="Arial"/>
              </w:rPr>
              <w:t>or plug or ADSL splitter/filter</w:t>
            </w:r>
          </w:p>
          <w:p w14:paraId="60D3BB05" w14:textId="18BF1164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PERS where other options are available to</w:t>
            </w:r>
            <w:r w:rsidR="003E7855">
              <w:rPr>
                <w:rFonts w:cs="Arial"/>
              </w:rPr>
              <w:t xml:space="preserve"> summon assistance such as self-</w:t>
            </w:r>
            <w:r w:rsidRPr="00DC3277">
              <w:rPr>
                <w:rFonts w:cs="Arial"/>
              </w:rPr>
              <w:t>purchase of cordless phone or mobile phone, or increased supervision</w:t>
            </w:r>
          </w:p>
          <w:p w14:paraId="35BA9458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PERS when a client has cognitive impairment such as poor memory (will forget to wear the pendant), poor insight (</w:t>
            </w:r>
            <w:r>
              <w:rPr>
                <w:rFonts w:cs="Arial"/>
              </w:rPr>
              <w:t>unable to</w:t>
            </w:r>
            <w:r w:rsidRPr="00DC3277">
              <w:rPr>
                <w:rFonts w:cs="Arial"/>
              </w:rPr>
              <w:t xml:space="preserve"> see the need to wear one), or confus</w:t>
            </w:r>
            <w:r>
              <w:rPr>
                <w:rFonts w:cs="Arial"/>
              </w:rPr>
              <w:t>ion (unable to understand how to use)</w:t>
            </w:r>
          </w:p>
          <w:p w14:paraId="51D9D287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PERS when a client’s mobility and falls risk has not been sufficiently investigated</w:t>
            </w:r>
          </w:p>
          <w:p w14:paraId="2C6E67BA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PERS as a security device against intruders for clients who feel vulnerable living alone</w:t>
            </w:r>
          </w:p>
          <w:p w14:paraId="228E0684" w14:textId="77777777" w:rsidR="00E93270" w:rsidRPr="00DC3277" w:rsidRDefault="00E93270" w:rsidP="00392CA5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PERS when a client is funded for 24/7 suppo</w:t>
            </w:r>
            <w:r>
              <w:rPr>
                <w:rFonts w:cs="Arial"/>
              </w:rPr>
              <w:t xml:space="preserve">rt (in own home or in supported </w:t>
            </w:r>
            <w:r w:rsidRPr="00DC3277">
              <w:rPr>
                <w:rFonts w:cs="Arial"/>
              </w:rPr>
              <w:t>accommodation)</w:t>
            </w:r>
          </w:p>
          <w:p w14:paraId="3D9CB56B" w14:textId="77777777" w:rsidR="00E93270" w:rsidRPr="00CD5FE1" w:rsidRDefault="00E93270" w:rsidP="00392CA5">
            <w:pPr>
              <w:numPr>
                <w:ilvl w:val="0"/>
                <w:numId w:val="10"/>
              </w:numPr>
              <w:spacing w:before="60" w:after="60"/>
            </w:pPr>
            <w:r w:rsidRPr="00DC3277">
              <w:rPr>
                <w:rFonts w:cs="Arial"/>
              </w:rPr>
              <w:t>Aids and equipment which can be funded by other sources</w:t>
            </w:r>
          </w:p>
          <w:p w14:paraId="3FE89DF1" w14:textId="77777777" w:rsidR="00E93270" w:rsidRPr="00336555" w:rsidRDefault="00E93270" w:rsidP="00392CA5">
            <w:pPr>
              <w:numPr>
                <w:ilvl w:val="0"/>
                <w:numId w:val="10"/>
              </w:numPr>
              <w:spacing w:before="60" w:after="60"/>
            </w:pPr>
            <w:r>
              <w:rPr>
                <w:rFonts w:cs="Arial"/>
              </w:rPr>
              <w:t>The provision of additional accessories to ensure that the PERS is functional and operational</w:t>
            </w:r>
          </w:p>
        </w:tc>
      </w:tr>
      <w:tr w:rsidR="00E93270" w:rsidRPr="00336555" w14:paraId="09D02B88" w14:textId="77777777" w:rsidTr="00384979">
        <w:tc>
          <w:tcPr>
            <w:tcW w:w="1854" w:type="pct"/>
            <w:tcBorders>
              <w:bottom w:val="single" w:sz="8" w:space="0" w:color="auto"/>
            </w:tcBorders>
          </w:tcPr>
          <w:p w14:paraId="4BF69B31" w14:textId="77777777" w:rsidR="00E93270" w:rsidRPr="00336555" w:rsidRDefault="00E93270" w:rsidP="00392CA5">
            <w:pPr>
              <w:spacing w:before="60" w:after="60"/>
              <w:rPr>
                <w:b/>
                <w:bCs/>
              </w:rPr>
            </w:pPr>
            <w:r w:rsidRPr="00336555">
              <w:rPr>
                <w:b/>
                <w:bCs/>
              </w:rPr>
              <w:lastRenderedPageBreak/>
              <w:t>Alternate Funding Sources for Aids and Equipment</w:t>
            </w:r>
          </w:p>
          <w:p w14:paraId="4EAC7E8B" w14:textId="77777777" w:rsidR="00E93270" w:rsidRPr="00336555" w:rsidRDefault="00E93270" w:rsidP="00392CA5">
            <w:pPr>
              <w:spacing w:before="60" w:after="60"/>
            </w:pPr>
            <w:r w:rsidRPr="00336555">
              <w:t xml:space="preserve">Availability of equipment funding from other sources must be investigated. </w:t>
            </w:r>
          </w:p>
          <w:p w14:paraId="4A7F68DF" w14:textId="77777777" w:rsidR="00E93270" w:rsidRPr="00336555" w:rsidRDefault="00E93270" w:rsidP="00392CA5">
            <w:pPr>
              <w:spacing w:before="60" w:after="60"/>
            </w:pPr>
            <w:r w:rsidRPr="00336555">
              <w:t>This list should not be considered exhaustive as further alternative funding sources may be available.</w:t>
            </w:r>
          </w:p>
        </w:tc>
        <w:tc>
          <w:tcPr>
            <w:tcW w:w="3146" w:type="pct"/>
            <w:tcBorders>
              <w:bottom w:val="single" w:sz="8" w:space="0" w:color="auto"/>
            </w:tcBorders>
          </w:tcPr>
          <w:p w14:paraId="14E70CB4" w14:textId="77777777" w:rsidR="00E93270" w:rsidRPr="00405CA4" w:rsidRDefault="00E93270" w:rsidP="00392CA5">
            <w:pPr>
              <w:spacing w:before="60" w:after="60"/>
            </w:pPr>
            <w:r w:rsidRPr="00336555">
              <w:t>Items for aged clients may be provided through</w:t>
            </w:r>
            <w:r>
              <w:t xml:space="preserve"> a</w:t>
            </w:r>
            <w:r w:rsidRPr="00336555">
              <w:t xml:space="preserve"> </w:t>
            </w:r>
            <w:r>
              <w:t>Commonwealth Home Care Package 1, 2,3,4 or a Residential Aged Care facility</w:t>
            </w:r>
            <w:r>
              <w:rPr>
                <w:rFonts w:cs="Arial"/>
              </w:rPr>
              <w:t xml:space="preserve"> </w:t>
            </w:r>
            <w:r w:rsidRPr="00C2701A">
              <w:t xml:space="preserve">Items may be funded through an approved National Disability Insurance Scheme (NDIS) Plan </w:t>
            </w:r>
          </w:p>
          <w:p w14:paraId="7EDF191F" w14:textId="77777777" w:rsidR="00E93270" w:rsidRPr="00336555" w:rsidRDefault="00E93270" w:rsidP="00392CA5">
            <w:pPr>
              <w:spacing w:before="60" w:after="60"/>
            </w:pPr>
            <w:r w:rsidRPr="00336555">
              <w:t>Compensable and private funding such as Department of Veterans Affairs (DVA), Motor Accident Compensation (MAC), or other Insurance schemes</w:t>
            </w:r>
          </w:p>
          <w:p w14:paraId="4FD3C242" w14:textId="77777777" w:rsidR="00E93270" w:rsidRPr="00336555" w:rsidRDefault="00E93270" w:rsidP="00392CA5">
            <w:pPr>
              <w:spacing w:before="60" w:after="60"/>
            </w:pPr>
            <w:r w:rsidRPr="00336555">
              <w:t xml:space="preserve">Public/community housing organisations e.g. </w:t>
            </w:r>
            <w:r>
              <w:t>Department of Housing and Community Development</w:t>
            </w:r>
            <w:r w:rsidRPr="00336555">
              <w:t>, Housing Co-operatives</w:t>
            </w:r>
          </w:p>
        </w:tc>
      </w:tr>
      <w:tr w:rsidR="00E93270" w:rsidRPr="00336555" w14:paraId="5858D6E7" w14:textId="77777777" w:rsidTr="00384979"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22B3CF" w14:textId="77777777" w:rsidR="00E93270" w:rsidRPr="00336555" w:rsidRDefault="00E93270" w:rsidP="00392CA5">
            <w:pPr>
              <w:spacing w:before="60" w:after="60"/>
            </w:pPr>
          </w:p>
        </w:tc>
      </w:tr>
      <w:tr w:rsidR="00E93270" w:rsidRPr="00336555" w14:paraId="255CFED0" w14:textId="77777777" w:rsidTr="00384979">
        <w:tc>
          <w:tcPr>
            <w:tcW w:w="5000" w:type="pct"/>
            <w:gridSpan w:val="2"/>
            <w:tcBorders>
              <w:top w:val="nil"/>
            </w:tcBorders>
            <w:shd w:val="clear" w:color="auto" w:fill="002060"/>
          </w:tcPr>
          <w:p w14:paraId="6339396D" w14:textId="77777777" w:rsidR="00E93270" w:rsidRPr="00336555" w:rsidRDefault="00E93270" w:rsidP="00392CA5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Identification of Need/Clinical Criteria</w:t>
            </w:r>
          </w:p>
        </w:tc>
      </w:tr>
      <w:tr w:rsidR="00E93270" w:rsidRPr="00336555" w14:paraId="28F946EE" w14:textId="77777777" w:rsidTr="00392CA5">
        <w:trPr>
          <w:trHeight w:val="655"/>
        </w:trPr>
        <w:tc>
          <w:tcPr>
            <w:tcW w:w="5000" w:type="pct"/>
            <w:gridSpan w:val="2"/>
          </w:tcPr>
          <w:p w14:paraId="7BA840D5" w14:textId="77777777" w:rsidR="00E93270" w:rsidRPr="00DC3277" w:rsidRDefault="00E93270" w:rsidP="00392CA5">
            <w:pPr>
              <w:pStyle w:val="PolicyHeading1DHF"/>
              <w:keepNext w:val="0"/>
              <w:rPr>
                <w:b w:val="0"/>
                <w:bCs/>
                <w:color w:val="auto"/>
                <w:sz w:val="22"/>
                <w:szCs w:val="22"/>
              </w:rPr>
            </w:pPr>
            <w:r w:rsidRPr="00DC3277">
              <w:rPr>
                <w:b w:val="0"/>
                <w:bCs/>
                <w:color w:val="auto"/>
                <w:sz w:val="22"/>
                <w:szCs w:val="22"/>
              </w:rPr>
              <w:t>All opportunities to reduce the risk of falls should also be investigated including a mobility assessment and any necessary mobility equipment and/or home modifications provided prior to applying for a PERS.</w:t>
            </w:r>
          </w:p>
          <w:p w14:paraId="00CC3254" w14:textId="77777777" w:rsidR="00E93270" w:rsidRPr="00DC3277" w:rsidRDefault="00E93270" w:rsidP="00392CA5">
            <w:pPr>
              <w:spacing w:before="60"/>
              <w:rPr>
                <w:rFonts w:cs="Arial"/>
                <w:b/>
              </w:rPr>
            </w:pPr>
            <w:r w:rsidRPr="00DC3277">
              <w:rPr>
                <w:rFonts w:cs="Arial"/>
                <w:b/>
              </w:rPr>
              <w:t xml:space="preserve">A Monitored </w:t>
            </w:r>
            <w:r>
              <w:rPr>
                <w:rFonts w:cs="Arial"/>
                <w:b/>
              </w:rPr>
              <w:t xml:space="preserve">Alarm </w:t>
            </w:r>
            <w:r w:rsidRPr="00DC3277">
              <w:rPr>
                <w:rFonts w:cs="Arial"/>
                <w:b/>
              </w:rPr>
              <w:t>System may be provided when:</w:t>
            </w:r>
          </w:p>
          <w:p w14:paraId="34B3793D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DC3277">
              <w:rPr>
                <w:rFonts w:cs="Arial"/>
              </w:rPr>
              <w:t xml:space="preserve"> client meets </w:t>
            </w:r>
            <w:r w:rsidRPr="00DC3277">
              <w:rPr>
                <w:rFonts w:cs="Arial"/>
                <w:b/>
                <w:bCs/>
              </w:rPr>
              <w:t>one or more</w:t>
            </w:r>
            <w:r w:rsidRPr="00DC3277">
              <w:rPr>
                <w:rFonts w:cs="Arial"/>
              </w:rPr>
              <w:t xml:space="preserve"> of the clinical criteria </w:t>
            </w:r>
            <w:r w:rsidRPr="00DC3277">
              <w:rPr>
                <w:rFonts w:cs="Arial"/>
                <w:b/>
              </w:rPr>
              <w:t>AND</w:t>
            </w:r>
          </w:p>
          <w:p w14:paraId="643EDFE4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DC3277">
              <w:rPr>
                <w:rFonts w:cs="Arial"/>
              </w:rPr>
              <w:t xml:space="preserve"> client meets </w:t>
            </w:r>
            <w:r w:rsidRPr="00DC3277">
              <w:rPr>
                <w:rFonts w:cs="Arial"/>
                <w:b/>
                <w:bCs/>
              </w:rPr>
              <w:t>all</w:t>
            </w:r>
            <w:r w:rsidRPr="00DC3277">
              <w:rPr>
                <w:rFonts w:cs="Arial"/>
              </w:rPr>
              <w:t xml:space="preserve"> of the functional criteria </w:t>
            </w:r>
            <w:r w:rsidRPr="00DC3277">
              <w:rPr>
                <w:rFonts w:cs="Arial"/>
                <w:b/>
              </w:rPr>
              <w:t>AND</w:t>
            </w:r>
          </w:p>
          <w:p w14:paraId="5B202526" w14:textId="77777777" w:rsidR="00E93270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DC3277">
              <w:rPr>
                <w:rFonts w:cs="Arial"/>
              </w:rPr>
              <w:t xml:space="preserve"> client meets </w:t>
            </w:r>
            <w:r w:rsidRPr="00DC3277">
              <w:rPr>
                <w:rFonts w:cs="Arial"/>
                <w:b/>
                <w:bCs/>
              </w:rPr>
              <w:t>one or more</w:t>
            </w:r>
            <w:r w:rsidRPr="00DC3277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the social criteria.</w:t>
            </w:r>
          </w:p>
          <w:p w14:paraId="7B3E19F0" w14:textId="77777777" w:rsidR="00E93270" w:rsidRPr="00DC3277" w:rsidRDefault="00E93270" w:rsidP="00392CA5">
            <w:pPr>
              <w:spacing w:before="60"/>
              <w:rPr>
                <w:rFonts w:cs="Arial"/>
              </w:rPr>
            </w:pPr>
            <w:r w:rsidRPr="00DC3277">
              <w:rPr>
                <w:rFonts w:cs="Arial"/>
                <w:b/>
              </w:rPr>
              <w:t xml:space="preserve">A Non-monitored </w:t>
            </w:r>
            <w:r>
              <w:rPr>
                <w:rFonts w:cs="Arial"/>
                <w:b/>
              </w:rPr>
              <w:t xml:space="preserve">Alarm </w:t>
            </w:r>
            <w:r w:rsidRPr="00DC3277">
              <w:rPr>
                <w:rFonts w:cs="Arial"/>
                <w:b/>
              </w:rPr>
              <w:t>System should be considered</w:t>
            </w:r>
            <w:r>
              <w:rPr>
                <w:rFonts w:cs="Arial"/>
                <w:b/>
              </w:rPr>
              <w:t xml:space="preserve"> when</w:t>
            </w:r>
            <w:r w:rsidRPr="00DC3277">
              <w:rPr>
                <w:rFonts w:cs="Arial"/>
              </w:rPr>
              <w:t>:</w:t>
            </w:r>
          </w:p>
          <w:p w14:paraId="1876050D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DC3277">
              <w:rPr>
                <w:rFonts w:cs="Arial"/>
              </w:rPr>
              <w:t xml:space="preserve"> client meets </w:t>
            </w:r>
            <w:r w:rsidRPr="00DC3277">
              <w:rPr>
                <w:rFonts w:cs="Arial"/>
                <w:b/>
                <w:bCs/>
              </w:rPr>
              <w:t>one or more</w:t>
            </w:r>
            <w:r w:rsidRPr="00DC3277">
              <w:rPr>
                <w:rFonts w:cs="Arial"/>
              </w:rPr>
              <w:t xml:space="preserve"> of the clinical criteria </w:t>
            </w:r>
            <w:r w:rsidRPr="00DC3277">
              <w:rPr>
                <w:rFonts w:cs="Arial"/>
                <w:b/>
              </w:rPr>
              <w:t>AND</w:t>
            </w:r>
          </w:p>
          <w:p w14:paraId="02AC76C1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DC3277">
              <w:rPr>
                <w:rFonts w:cs="Arial"/>
              </w:rPr>
              <w:t xml:space="preserve"> client meets </w:t>
            </w:r>
            <w:r w:rsidRPr="00DC3277">
              <w:rPr>
                <w:rFonts w:cs="Arial"/>
                <w:b/>
                <w:bCs/>
              </w:rPr>
              <w:t>ALL</w:t>
            </w:r>
            <w:r w:rsidRPr="00DC3277">
              <w:rPr>
                <w:rFonts w:cs="Arial"/>
              </w:rPr>
              <w:t xml:space="preserve"> of the functional criteria </w:t>
            </w:r>
            <w:r w:rsidRPr="00DC3277">
              <w:rPr>
                <w:rFonts w:cs="Arial"/>
                <w:b/>
              </w:rPr>
              <w:t>AND</w:t>
            </w:r>
          </w:p>
          <w:p w14:paraId="2D5471FA" w14:textId="3A413D8A" w:rsidR="00E93270" w:rsidRPr="00F2141E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bCs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 w:rsidRPr="00DC3277">
              <w:rPr>
                <w:rFonts w:cs="Arial"/>
              </w:rPr>
              <w:t xml:space="preserve"> client </w:t>
            </w:r>
            <w:r>
              <w:rPr>
                <w:rFonts w:cs="Arial"/>
              </w:rPr>
              <w:t xml:space="preserve">does not </w:t>
            </w:r>
            <w:r w:rsidRPr="00DC3277">
              <w:rPr>
                <w:rFonts w:cs="Arial"/>
              </w:rPr>
              <w:t>meet</w:t>
            </w:r>
            <w:r>
              <w:rPr>
                <w:rFonts w:cs="Arial"/>
              </w:rPr>
              <w:t xml:space="preserve"> any social criteria </w:t>
            </w:r>
            <w:r>
              <w:rPr>
                <w:rFonts w:cs="Arial"/>
                <w:bCs/>
              </w:rPr>
              <w:t xml:space="preserve">however </w:t>
            </w:r>
            <w:r w:rsidRPr="00F2141E">
              <w:rPr>
                <w:rFonts w:cs="Arial"/>
                <w:bCs/>
              </w:rPr>
              <w:t>someone</w:t>
            </w:r>
            <w:r>
              <w:rPr>
                <w:rFonts w:cs="Arial"/>
                <w:bCs/>
              </w:rPr>
              <w:t xml:space="preserve"> is </w:t>
            </w:r>
            <w:r w:rsidRPr="00F2141E">
              <w:rPr>
                <w:rFonts w:cs="Arial"/>
                <w:bCs/>
              </w:rPr>
              <w:t>available to respond to the alarm</w:t>
            </w:r>
            <w:r>
              <w:rPr>
                <w:rFonts w:cs="Arial"/>
              </w:rPr>
              <w:t xml:space="preserve"> e</w:t>
            </w:r>
            <w:r w:rsidR="007E141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g. client </w:t>
            </w:r>
            <w:r w:rsidRPr="00F2141E">
              <w:rPr>
                <w:rFonts w:cs="Arial"/>
                <w:bCs/>
              </w:rPr>
              <w:t xml:space="preserve">may live in a partly separated residence </w:t>
            </w:r>
            <w:r>
              <w:rPr>
                <w:rFonts w:cs="Arial"/>
                <w:bCs/>
              </w:rPr>
              <w:t>such as a Granny Flat.</w:t>
            </w:r>
          </w:p>
          <w:p w14:paraId="1BA54F94" w14:textId="77777777" w:rsidR="00E93270" w:rsidRPr="00190699" w:rsidRDefault="00E93270" w:rsidP="00392CA5">
            <w:pPr>
              <w:spacing w:before="240" w:after="60"/>
              <w:rPr>
                <w:rFonts w:cs="Arial"/>
                <w:b/>
              </w:rPr>
            </w:pPr>
            <w:r w:rsidRPr="00190699">
              <w:rPr>
                <w:rFonts w:cs="Arial"/>
                <w:b/>
              </w:rPr>
              <w:t>Clinical Criteria</w:t>
            </w:r>
          </w:p>
          <w:p w14:paraId="2FEA9D62" w14:textId="77777777" w:rsidR="00E93270" w:rsidRDefault="00E93270" w:rsidP="00392CA5">
            <w:pPr>
              <w:spacing w:before="6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client must meet at least </w:t>
            </w:r>
            <w:r w:rsidRPr="00455419">
              <w:rPr>
                <w:rFonts w:cs="Arial"/>
                <w:b/>
                <w:bCs/>
              </w:rPr>
              <w:t>ONE</w:t>
            </w:r>
            <w:r>
              <w:rPr>
                <w:rFonts w:cs="Arial"/>
                <w:bCs/>
              </w:rPr>
              <w:t xml:space="preserve"> of the following </w:t>
            </w:r>
            <w:r w:rsidRPr="00AB0AB9">
              <w:rPr>
                <w:rFonts w:cs="Arial"/>
                <w:bCs/>
              </w:rPr>
              <w:t>clinical criteria prior</w:t>
            </w:r>
            <w:r>
              <w:rPr>
                <w:rFonts w:cs="Arial"/>
                <w:bCs/>
              </w:rPr>
              <w:t xml:space="preserve"> to the approval of a PERS.  </w:t>
            </w:r>
          </w:p>
          <w:p w14:paraId="56A4906B" w14:textId="77777777" w:rsidR="00E93270" w:rsidRPr="00455419" w:rsidRDefault="00E93270" w:rsidP="00392CA5">
            <w:pPr>
              <w:jc w:val="both"/>
              <w:rPr>
                <w:rFonts w:cs="Arial"/>
                <w:bCs/>
              </w:rPr>
            </w:pPr>
            <w:r w:rsidRPr="00FF0CED">
              <w:rPr>
                <w:rFonts w:cs="Arial"/>
              </w:rPr>
              <w:t>The client</w:t>
            </w:r>
            <w:r>
              <w:rPr>
                <w:rFonts w:cs="Arial"/>
                <w:bCs/>
              </w:rPr>
              <w:t xml:space="preserve"> </w:t>
            </w:r>
            <w:r w:rsidRPr="00455419">
              <w:rPr>
                <w:rFonts w:cs="Arial"/>
                <w:b/>
                <w:bCs/>
              </w:rPr>
              <w:t>either</w:t>
            </w:r>
            <w:r>
              <w:rPr>
                <w:rFonts w:cs="Arial"/>
                <w:bCs/>
              </w:rPr>
              <w:t>:</w:t>
            </w:r>
          </w:p>
          <w:p w14:paraId="02452E38" w14:textId="7B14F9F8" w:rsidR="00E93270" w:rsidRPr="00D51E0B" w:rsidRDefault="00E93270" w:rsidP="00392CA5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after="60"/>
              <w:ind w:left="431" w:hanging="431"/>
              <w:jc w:val="both"/>
              <w:rPr>
                <w:rFonts w:cs="Arial"/>
                <w:bCs/>
              </w:rPr>
            </w:pPr>
            <w:r w:rsidRPr="00D51E0B">
              <w:rPr>
                <w:rFonts w:cs="Arial"/>
              </w:rPr>
              <w:lastRenderedPageBreak/>
              <w:t>has a significant risk of a medical emergency. The client should have a medical condition that requires immediate and urgent response and be unlikely to be able to obtain assistance through conventional means e</w:t>
            </w:r>
            <w:r w:rsidR="00F20F59">
              <w:rPr>
                <w:rFonts w:cs="Arial"/>
              </w:rPr>
              <w:t>.</w:t>
            </w:r>
            <w:r w:rsidRPr="00D51E0B">
              <w:rPr>
                <w:rFonts w:cs="Arial"/>
              </w:rPr>
              <w:t xml:space="preserve">g. poorly controlled diabetes or epilepsy </w:t>
            </w:r>
            <w:r w:rsidRPr="00D51E0B">
              <w:rPr>
                <w:rFonts w:cs="Arial"/>
                <w:b/>
                <w:bCs/>
              </w:rPr>
              <w:t>OR</w:t>
            </w:r>
          </w:p>
          <w:p w14:paraId="330AC98D" w14:textId="77777777" w:rsidR="00E93270" w:rsidRPr="00D51E0B" w:rsidRDefault="00E93270" w:rsidP="00392CA5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left="431" w:hanging="431"/>
              <w:jc w:val="both"/>
              <w:rPr>
                <w:rFonts w:cs="Arial"/>
              </w:rPr>
            </w:pPr>
            <w:r w:rsidRPr="00D51E0B">
              <w:rPr>
                <w:rFonts w:cs="Arial"/>
              </w:rPr>
              <w:t xml:space="preserve">has a recent history (within the past 12 months) of falls. The falls should have been investigated and the cause of the falls eliminated where possible. Therefore </w:t>
            </w:r>
            <w:r>
              <w:rPr>
                <w:rFonts w:cs="Arial"/>
              </w:rPr>
              <w:t>a PERS</w:t>
            </w:r>
            <w:r w:rsidRPr="00D51E0B">
              <w:rPr>
                <w:rFonts w:cs="Arial"/>
              </w:rPr>
              <w:t xml:space="preserve"> should only be considered if there is a </w:t>
            </w:r>
            <w:r w:rsidRPr="00D51E0B">
              <w:rPr>
                <w:rFonts w:cs="Arial"/>
                <w:i/>
                <w:iCs/>
                <w:u w:val="single"/>
              </w:rPr>
              <w:t>continued</w:t>
            </w:r>
            <w:r w:rsidRPr="00D51E0B">
              <w:rPr>
                <w:rFonts w:cs="Arial"/>
              </w:rPr>
              <w:t xml:space="preserve"> risk of falls </w:t>
            </w:r>
            <w:r w:rsidRPr="00D51E0B">
              <w:rPr>
                <w:rFonts w:cs="Arial"/>
                <w:b/>
                <w:bCs/>
              </w:rPr>
              <w:t>OR</w:t>
            </w:r>
          </w:p>
          <w:p w14:paraId="3FE2EA56" w14:textId="77777777" w:rsidR="00E93270" w:rsidRPr="00D51E0B" w:rsidRDefault="00E93270" w:rsidP="00392CA5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left="431" w:hanging="431"/>
              <w:jc w:val="both"/>
              <w:rPr>
                <w:rFonts w:cs="Arial"/>
              </w:rPr>
            </w:pPr>
            <w:r w:rsidRPr="00D51E0B">
              <w:rPr>
                <w:rFonts w:cs="Arial"/>
              </w:rPr>
              <w:t>displays a number of factors that would put them at high risk of a fall. Risk factors include severe visual impairment, severe mobility and balance problems, severe incontinence, and medical conditions which affect balance and mobility such as Parkinson’</w:t>
            </w:r>
            <w:r>
              <w:rPr>
                <w:rFonts w:cs="Arial"/>
              </w:rPr>
              <w:t>s disease or Meniere’s disease</w:t>
            </w:r>
          </w:p>
          <w:p w14:paraId="7F44B3FD" w14:textId="77777777" w:rsidR="00E93270" w:rsidRPr="00190699" w:rsidRDefault="00E93270" w:rsidP="00392CA5">
            <w:pPr>
              <w:spacing w:before="240" w:after="60"/>
              <w:rPr>
                <w:rFonts w:cs="Arial"/>
                <w:b/>
              </w:rPr>
            </w:pPr>
            <w:r w:rsidRPr="00190699">
              <w:rPr>
                <w:rFonts w:cs="Arial"/>
                <w:b/>
              </w:rPr>
              <w:t>Functional Criteria</w:t>
            </w:r>
          </w:p>
          <w:p w14:paraId="09B9ED72" w14:textId="77777777" w:rsidR="00E93270" w:rsidRPr="00DC3277" w:rsidRDefault="00E93270" w:rsidP="00392CA5">
            <w:pPr>
              <w:pStyle w:val="ListParagraph"/>
            </w:pPr>
            <w:r w:rsidRPr="00DC3277">
              <w:t xml:space="preserve">The client </w:t>
            </w:r>
            <w:r>
              <w:t>should</w:t>
            </w:r>
            <w:r w:rsidRPr="00DC3277">
              <w:t xml:space="preserve"> meet </w:t>
            </w:r>
            <w:r w:rsidRPr="00DC3277">
              <w:rPr>
                <w:b/>
                <w:bCs/>
              </w:rPr>
              <w:t xml:space="preserve">ALL </w:t>
            </w:r>
            <w:r w:rsidRPr="00DC3277">
              <w:t xml:space="preserve">the </w:t>
            </w:r>
            <w:r w:rsidRPr="00AB0AB9">
              <w:t>functional criteria listed</w:t>
            </w:r>
            <w:r w:rsidRPr="00DC3277">
              <w:t xml:space="preserve"> below prior to the approval of a PERS.</w:t>
            </w:r>
          </w:p>
          <w:p w14:paraId="3CD6DDB2" w14:textId="77777777" w:rsidR="00E93270" w:rsidRPr="00DC3277" w:rsidRDefault="00E93270" w:rsidP="00392CA5">
            <w:pPr>
              <w:pStyle w:val="ListParagraph"/>
              <w:spacing w:after="0"/>
            </w:pPr>
            <w:r w:rsidRPr="00DC3277">
              <w:t xml:space="preserve">The </w:t>
            </w:r>
            <w:r>
              <w:t>client should</w:t>
            </w:r>
            <w:r w:rsidRPr="00DC3277">
              <w:t xml:space="preserve"> have:</w:t>
            </w:r>
          </w:p>
          <w:p w14:paraId="1A03C0BF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 xml:space="preserve">sufficient physical function to operate the alarm </w:t>
            </w:r>
            <w:r w:rsidRPr="00DC3277">
              <w:rPr>
                <w:rFonts w:cs="Arial"/>
                <w:b/>
                <w:bCs/>
                <w:iCs/>
              </w:rPr>
              <w:t>AND</w:t>
            </w:r>
          </w:p>
          <w:p w14:paraId="1D061304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sufficient cognitive function to wear and to operate the alarm</w:t>
            </w:r>
            <w:r w:rsidRPr="00DC3277">
              <w:rPr>
                <w:rFonts w:cs="Arial"/>
                <w:b/>
                <w:bCs/>
                <w:iCs/>
              </w:rPr>
              <w:t xml:space="preserve"> AND</w:t>
            </w:r>
          </w:p>
          <w:p w14:paraId="0D1439B4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a willingness to wear the alarm device 24 hours a day</w:t>
            </w:r>
            <w:r w:rsidRPr="00DC3277">
              <w:rPr>
                <w:rFonts w:cs="Arial"/>
                <w:b/>
                <w:bCs/>
                <w:iCs/>
              </w:rPr>
              <w:t xml:space="preserve"> AND</w:t>
            </w:r>
          </w:p>
          <w:p w14:paraId="5BF6592C" w14:textId="77777777" w:rsidR="00E93270" w:rsidRPr="007974A6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a willingness to activate the system if necessary</w:t>
            </w:r>
          </w:p>
          <w:p w14:paraId="14C7E253" w14:textId="77777777" w:rsidR="00E93270" w:rsidRPr="00190699" w:rsidRDefault="00E93270" w:rsidP="00392CA5">
            <w:pPr>
              <w:spacing w:before="240" w:after="60" w:line="276" w:lineRule="auto"/>
              <w:rPr>
                <w:rFonts w:cs="Arial"/>
                <w:b/>
              </w:rPr>
            </w:pPr>
            <w:r w:rsidRPr="00190699">
              <w:rPr>
                <w:rFonts w:cs="Arial"/>
                <w:b/>
              </w:rPr>
              <w:t>Social Criteria</w:t>
            </w:r>
          </w:p>
          <w:p w14:paraId="53424EDC" w14:textId="77777777" w:rsidR="00E93270" w:rsidRPr="00DC3277" w:rsidRDefault="00E93270" w:rsidP="00392CA5">
            <w:pPr>
              <w:pStyle w:val="ListParagraph"/>
            </w:pPr>
            <w:r w:rsidRPr="00DC3277">
              <w:t xml:space="preserve">The client must meet at least </w:t>
            </w:r>
            <w:r w:rsidRPr="00DC3277">
              <w:rPr>
                <w:b/>
                <w:bCs/>
              </w:rPr>
              <w:t xml:space="preserve">ONE </w:t>
            </w:r>
            <w:r w:rsidRPr="00DC3277">
              <w:t xml:space="preserve">of the following </w:t>
            </w:r>
            <w:r w:rsidRPr="00AB0AB9">
              <w:rPr>
                <w:bCs/>
              </w:rPr>
              <w:t xml:space="preserve">social criteria </w:t>
            </w:r>
            <w:r w:rsidRPr="00AB0AB9">
              <w:t>prior to</w:t>
            </w:r>
            <w:r>
              <w:t xml:space="preserve"> the approval of a Monitored Alarm System.</w:t>
            </w:r>
          </w:p>
          <w:p w14:paraId="31D83D6B" w14:textId="77777777" w:rsidR="00E93270" w:rsidRPr="00DC3277" w:rsidRDefault="00E93270" w:rsidP="00392CA5">
            <w:pPr>
              <w:rPr>
                <w:rFonts w:cs="Arial"/>
              </w:rPr>
            </w:pPr>
            <w:r w:rsidRPr="00DC3277">
              <w:rPr>
                <w:rFonts w:cs="Arial"/>
              </w:rPr>
              <w:t xml:space="preserve">The client </w:t>
            </w:r>
            <w:r w:rsidRPr="00DC3277">
              <w:rPr>
                <w:rFonts w:cs="Arial"/>
                <w:b/>
                <w:bCs/>
                <w:iCs/>
              </w:rPr>
              <w:t>either</w:t>
            </w:r>
            <w:r w:rsidRPr="00455419">
              <w:rPr>
                <w:rFonts w:cs="Arial"/>
                <w:bCs/>
                <w:iCs/>
              </w:rPr>
              <w:t>:</w:t>
            </w:r>
          </w:p>
          <w:p w14:paraId="4FB8F023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 xml:space="preserve">lives alone </w:t>
            </w:r>
            <w:r w:rsidRPr="00DC3277">
              <w:rPr>
                <w:rFonts w:cs="Arial"/>
                <w:b/>
                <w:bCs/>
                <w:iCs/>
              </w:rPr>
              <w:t>OR</w:t>
            </w:r>
          </w:p>
          <w:p w14:paraId="04E14663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 xml:space="preserve">does not live alone but is without assistance for a significant proportion of the day or night </w:t>
            </w:r>
            <w:r w:rsidRPr="00DC3277">
              <w:rPr>
                <w:rFonts w:cs="Arial"/>
                <w:b/>
                <w:bCs/>
                <w:iCs/>
              </w:rPr>
              <w:t>OR</w:t>
            </w:r>
          </w:p>
          <w:p w14:paraId="5155E502" w14:textId="6CA8EB1D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does not live alone, but their carer is unable to provide or obtain assistance e</w:t>
            </w:r>
            <w:r w:rsidR="00F20F59">
              <w:rPr>
                <w:rFonts w:cs="Arial"/>
              </w:rPr>
              <w:t>.</w:t>
            </w:r>
            <w:r w:rsidRPr="00DC3277">
              <w:rPr>
                <w:rFonts w:cs="Arial"/>
              </w:rPr>
              <w:t xml:space="preserve">g. due to significant hearing impairment, dementia or mobility problems </w:t>
            </w:r>
            <w:r w:rsidRPr="00DC3277">
              <w:rPr>
                <w:rFonts w:cs="Arial"/>
                <w:b/>
                <w:bCs/>
                <w:iCs/>
              </w:rPr>
              <w:t>OR</w:t>
            </w:r>
          </w:p>
          <w:p w14:paraId="673F5B89" w14:textId="77777777" w:rsidR="00E93270" w:rsidRPr="00DC3277" w:rsidRDefault="00E93270" w:rsidP="00392CA5">
            <w:pPr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  <w:iCs/>
              </w:rPr>
            </w:pPr>
            <w:r w:rsidRPr="00DC3277">
              <w:rPr>
                <w:rFonts w:cs="Arial"/>
              </w:rPr>
              <w:t xml:space="preserve">provision of an alarm could prevent the need for client to be placed into low-level residential or supported accommodation </w:t>
            </w:r>
            <w:r w:rsidRPr="00DC3277">
              <w:rPr>
                <w:rFonts w:cs="Arial"/>
                <w:b/>
              </w:rPr>
              <w:t>AND</w:t>
            </w:r>
          </w:p>
          <w:p w14:paraId="04A7807F" w14:textId="77777777" w:rsidR="00E93270" w:rsidRPr="00336555" w:rsidRDefault="00E93270" w:rsidP="00392CA5">
            <w:pPr>
              <w:spacing w:before="60" w:after="60"/>
              <w:ind w:left="360"/>
              <w:rPr>
                <w:iCs/>
              </w:rPr>
            </w:pPr>
            <w:r w:rsidRPr="00DC3277">
              <w:rPr>
                <w:rFonts w:cs="Arial"/>
              </w:rPr>
              <w:t xml:space="preserve">has the means and </w:t>
            </w:r>
            <w:r>
              <w:rPr>
                <w:rFonts w:cs="Arial"/>
              </w:rPr>
              <w:t>is willing</w:t>
            </w:r>
            <w:r w:rsidRPr="00DC3277">
              <w:rPr>
                <w:rFonts w:cs="Arial"/>
              </w:rPr>
              <w:t xml:space="preserve"> to fund the</w:t>
            </w:r>
            <w:r>
              <w:rPr>
                <w:rFonts w:cs="Arial"/>
              </w:rPr>
              <w:t xml:space="preserve"> ongoing system monitoring fees.</w:t>
            </w:r>
          </w:p>
        </w:tc>
      </w:tr>
    </w:tbl>
    <w:p w14:paraId="7AFA52F1" w14:textId="5560F3BF" w:rsidR="00E93270" w:rsidRDefault="00E93270" w:rsidP="00E93270">
      <w:pPr>
        <w:rPr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5841"/>
      </w:tblGrid>
      <w:tr w:rsidR="00E93270" w:rsidRPr="00336555" w14:paraId="08693D12" w14:textId="77777777" w:rsidTr="00E93270">
        <w:trPr>
          <w:trHeight w:val="367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09E745B1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Clinical Priority</w:t>
            </w:r>
          </w:p>
        </w:tc>
      </w:tr>
      <w:tr w:rsidR="00E93270" w:rsidRPr="00336555" w14:paraId="12E87F5C" w14:textId="77777777" w:rsidTr="002555EF">
        <w:trPr>
          <w:trHeight w:val="386"/>
        </w:trPr>
        <w:tc>
          <w:tcPr>
            <w:tcW w:w="5000" w:type="pct"/>
            <w:gridSpan w:val="2"/>
          </w:tcPr>
          <w:p w14:paraId="48587DA2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While a person may be eligible for </w:t>
            </w:r>
            <w:r>
              <w:t>TEP</w:t>
            </w:r>
            <w:r w:rsidRPr="00336555">
              <w:t xml:space="preserve">, it does not guarantee that a particular aid or item of equipment will be provided.  This decision is dependent on the clinical priority and the availability of funds.  </w:t>
            </w:r>
          </w:p>
          <w:p w14:paraId="05D87C22" w14:textId="77777777" w:rsidR="00E93270" w:rsidRPr="00336555" w:rsidRDefault="00E93270" w:rsidP="002555EF">
            <w:pPr>
              <w:spacing w:before="60" w:after="60"/>
              <w:rPr>
                <w:b/>
              </w:rPr>
            </w:pPr>
            <w:r w:rsidRPr="00336555">
              <w:rPr>
                <w:b/>
              </w:rPr>
              <w:t xml:space="preserve">New or re-issue stock items will be issued as soon as possible following approval and the processing of the prescription. </w:t>
            </w:r>
          </w:p>
          <w:p w14:paraId="5D1ED461" w14:textId="77777777" w:rsidR="00E93270" w:rsidRPr="00336555" w:rsidRDefault="00E93270" w:rsidP="002555EF">
            <w:pPr>
              <w:spacing w:before="60" w:after="60"/>
            </w:pPr>
            <w:r w:rsidRPr="00336555">
              <w:t>To ensure clients most in need are assisted, each prescription item will be clinically prioritised using the following criteria.</w:t>
            </w:r>
          </w:p>
          <w:p w14:paraId="02C677A4" w14:textId="77777777" w:rsidR="00E93270" w:rsidRPr="00336555" w:rsidRDefault="00E93270" w:rsidP="002555EF">
            <w:pPr>
              <w:spacing w:before="60" w:after="60"/>
            </w:pPr>
            <w:r w:rsidRPr="00336555">
              <w:t>This is an indication of the clinically assessed priority for the prescribed item and should be clearly justified by the prescriber within the prescription.</w:t>
            </w:r>
          </w:p>
        </w:tc>
      </w:tr>
      <w:tr w:rsidR="00E93270" w:rsidRPr="00336555" w14:paraId="4B705C55" w14:textId="77777777" w:rsidTr="002555EF">
        <w:trPr>
          <w:trHeight w:val="386"/>
        </w:trPr>
        <w:tc>
          <w:tcPr>
            <w:tcW w:w="2167" w:type="pct"/>
          </w:tcPr>
          <w:p w14:paraId="7C6AA96A" w14:textId="77777777" w:rsidR="00E93270" w:rsidRPr="00336555" w:rsidRDefault="00E93270" w:rsidP="00E93270">
            <w:pPr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336555">
              <w:rPr>
                <w:b/>
              </w:rPr>
              <w:t>High Urgency Category</w:t>
            </w:r>
          </w:p>
        </w:tc>
        <w:tc>
          <w:tcPr>
            <w:tcW w:w="2833" w:type="pct"/>
          </w:tcPr>
          <w:p w14:paraId="22F232CF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The provision of aids or equipment which are </w:t>
            </w:r>
            <w:r w:rsidRPr="00336555">
              <w:rPr>
                <w:b/>
                <w:i/>
              </w:rPr>
              <w:t>essential</w:t>
            </w:r>
            <w:r w:rsidRPr="00336555">
              <w:rPr>
                <w:i/>
              </w:rPr>
              <w:t xml:space="preserve"> </w:t>
            </w:r>
            <w:r w:rsidRPr="00336555">
              <w:t>to :</w:t>
            </w:r>
          </w:p>
          <w:p w14:paraId="4093E6DF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 w:rsidRPr="00336555">
              <w:t xml:space="preserve">The safety of the client/carer in the home </w:t>
            </w:r>
          </w:p>
          <w:p w14:paraId="050CD148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 w:rsidRPr="00336555">
              <w:t>The continuation of the current care/living arrangements</w:t>
            </w:r>
          </w:p>
          <w:p w14:paraId="57C56995" w14:textId="77777777" w:rsidR="00E93270" w:rsidRPr="00336555" w:rsidRDefault="00E93270" w:rsidP="002555EF">
            <w:pPr>
              <w:spacing w:before="60" w:after="60"/>
            </w:pPr>
            <w:r w:rsidRPr="00336555">
              <w:t>The client’s independent functioning in the home</w:t>
            </w:r>
          </w:p>
        </w:tc>
      </w:tr>
      <w:tr w:rsidR="00E93270" w:rsidRPr="00336555" w14:paraId="212E75C6" w14:textId="77777777" w:rsidTr="002555EF">
        <w:trPr>
          <w:trHeight w:val="386"/>
        </w:trPr>
        <w:tc>
          <w:tcPr>
            <w:tcW w:w="2167" w:type="pct"/>
          </w:tcPr>
          <w:p w14:paraId="3093159A" w14:textId="77777777" w:rsidR="00E93270" w:rsidRPr="00336555" w:rsidRDefault="00E93270" w:rsidP="00E93270">
            <w:pPr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336555">
              <w:rPr>
                <w:b/>
              </w:rPr>
              <w:lastRenderedPageBreak/>
              <w:t>Medium Urgency Category</w:t>
            </w:r>
          </w:p>
        </w:tc>
        <w:tc>
          <w:tcPr>
            <w:tcW w:w="2833" w:type="pct"/>
          </w:tcPr>
          <w:p w14:paraId="15B07DEE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The provision of aids or equipment which will </w:t>
            </w:r>
            <w:r w:rsidRPr="00336555">
              <w:rPr>
                <w:b/>
                <w:i/>
              </w:rPr>
              <w:t xml:space="preserve">improve </w:t>
            </w:r>
            <w:r w:rsidRPr="00336555">
              <w:t>the:</w:t>
            </w:r>
          </w:p>
          <w:p w14:paraId="2EDBC3CB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 w:rsidRPr="00336555">
              <w:t>Safety of the client/carer in daily living activities</w:t>
            </w:r>
          </w:p>
          <w:p w14:paraId="3FF2FC4B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 w:rsidRPr="00336555">
              <w:t>The client’s independent functioning in daily living activities</w:t>
            </w:r>
          </w:p>
          <w:p w14:paraId="67C58FE7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The provision of aids or equipment that will </w:t>
            </w:r>
            <w:r w:rsidRPr="00336555">
              <w:rPr>
                <w:b/>
                <w:i/>
              </w:rPr>
              <w:t>maintain</w:t>
            </w:r>
            <w:r w:rsidRPr="00336555">
              <w:t xml:space="preserve"> the client’s current care/living arrangements.</w:t>
            </w:r>
          </w:p>
        </w:tc>
      </w:tr>
      <w:tr w:rsidR="00E93270" w:rsidRPr="00336555" w14:paraId="1BC93067" w14:textId="77777777" w:rsidTr="002555EF">
        <w:trPr>
          <w:trHeight w:val="386"/>
        </w:trPr>
        <w:tc>
          <w:tcPr>
            <w:tcW w:w="2167" w:type="pct"/>
          </w:tcPr>
          <w:p w14:paraId="0E68F324" w14:textId="77777777" w:rsidR="00E93270" w:rsidRPr="00336555" w:rsidRDefault="00E93270" w:rsidP="00E93270">
            <w:pPr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336555">
              <w:rPr>
                <w:b/>
              </w:rPr>
              <w:t>Low Urgency Category</w:t>
            </w:r>
          </w:p>
        </w:tc>
        <w:tc>
          <w:tcPr>
            <w:tcW w:w="2833" w:type="pct"/>
          </w:tcPr>
          <w:p w14:paraId="6B44671F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The equipment </w:t>
            </w:r>
            <w:r w:rsidRPr="00336555">
              <w:rPr>
                <w:b/>
                <w:i/>
              </w:rPr>
              <w:t>is therapeutic based</w:t>
            </w:r>
            <w:r w:rsidRPr="00336555">
              <w:t xml:space="preserve"> equipment that increases the client’s mobility and communication abilities in the long-term.</w:t>
            </w:r>
          </w:p>
          <w:p w14:paraId="3A34EF32" w14:textId="77777777" w:rsidR="00E93270" w:rsidRPr="00336555" w:rsidRDefault="00E93270" w:rsidP="002555EF">
            <w:pPr>
              <w:spacing w:before="60" w:after="60"/>
            </w:pPr>
            <w:r w:rsidRPr="00336555">
              <w:t xml:space="preserve">The equipment </w:t>
            </w:r>
            <w:r w:rsidRPr="00336555">
              <w:rPr>
                <w:b/>
                <w:i/>
              </w:rPr>
              <w:t>contributes</w:t>
            </w:r>
            <w:r w:rsidRPr="00336555">
              <w:t xml:space="preserve"> to the client’s quality of life but is not essential for their current care/living arrangements.</w:t>
            </w:r>
          </w:p>
        </w:tc>
      </w:tr>
      <w:tr w:rsidR="00E93270" w:rsidRPr="00336555" w14:paraId="4A13D5C9" w14:textId="77777777" w:rsidTr="00E93270">
        <w:tc>
          <w:tcPr>
            <w:tcW w:w="5000" w:type="pct"/>
            <w:gridSpan w:val="2"/>
            <w:shd w:val="clear" w:color="auto" w:fill="002060"/>
          </w:tcPr>
          <w:p w14:paraId="10528DBA" w14:textId="77777777" w:rsidR="00E93270" w:rsidRPr="00336555" w:rsidRDefault="00E93270" w:rsidP="002555EF">
            <w:pPr>
              <w:rPr>
                <w:b/>
                <w:iCs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Equipment Decision and Justification</w:t>
            </w:r>
          </w:p>
        </w:tc>
      </w:tr>
      <w:tr w:rsidR="00E93270" w:rsidRPr="00336555" w14:paraId="15BA6416" w14:textId="77777777" w:rsidTr="002555E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129B169" w14:textId="77777777" w:rsidR="003E490F" w:rsidRDefault="003E490F" w:rsidP="002555EF">
            <w:pPr>
              <w:rPr>
                <w:b/>
                <w:sz w:val="24"/>
                <w:szCs w:val="24"/>
              </w:rPr>
            </w:pPr>
          </w:p>
          <w:p w14:paraId="75FD6937" w14:textId="12FC392A" w:rsidR="00E93270" w:rsidRPr="00336555" w:rsidRDefault="00E93270" w:rsidP="002555EF">
            <w:pPr>
              <w:rPr>
                <w:b/>
                <w:iCs/>
                <w:sz w:val="24"/>
                <w:szCs w:val="24"/>
              </w:rPr>
            </w:pPr>
            <w:r w:rsidRPr="00336555">
              <w:rPr>
                <w:b/>
                <w:sz w:val="24"/>
                <w:szCs w:val="24"/>
              </w:rPr>
              <w:t>Client Factors</w:t>
            </w:r>
          </w:p>
        </w:tc>
      </w:tr>
      <w:tr w:rsidR="00E93270" w:rsidRPr="00336555" w14:paraId="29678EBD" w14:textId="77777777" w:rsidTr="002555EF">
        <w:tc>
          <w:tcPr>
            <w:tcW w:w="5000" w:type="pct"/>
            <w:gridSpan w:val="2"/>
          </w:tcPr>
          <w:p w14:paraId="2A9E5245" w14:textId="77777777" w:rsidR="00E93270" w:rsidRPr="00DC3277" w:rsidRDefault="00E93270" w:rsidP="002555EF">
            <w:pPr>
              <w:rPr>
                <w:rFonts w:cs="Arial"/>
                <w:b/>
              </w:rPr>
            </w:pPr>
            <w:r w:rsidRPr="00DC3277">
              <w:rPr>
                <w:rFonts w:cs="Arial"/>
                <w:b/>
              </w:rPr>
              <w:t>Provide</w:t>
            </w:r>
          </w:p>
          <w:p w14:paraId="16C6F656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Any relevant medical information that impacts on the client’s current and ongoing ability to use the equipment such as deterioration or improvement in condition, medications, planned surgery</w:t>
            </w:r>
          </w:p>
          <w:p w14:paraId="69E50FD7" w14:textId="6EB76EE8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Functional speech and/or language of client i</w:t>
            </w:r>
            <w:r w:rsidR="00F20F59">
              <w:rPr>
                <w:rFonts w:cs="Arial"/>
              </w:rPr>
              <w:t>.</w:t>
            </w:r>
            <w:r w:rsidRPr="00DC3277">
              <w:rPr>
                <w:rFonts w:cs="Arial"/>
              </w:rPr>
              <w:t>e. is client verbal or non-verbal</w:t>
            </w:r>
          </w:p>
          <w:p w14:paraId="139D99B4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Mini Mental State Examination, Rowland Universal De</w:t>
            </w:r>
            <w:r>
              <w:rPr>
                <w:rFonts w:cs="Arial"/>
              </w:rPr>
              <w:t>mentia Assessment Scale (RUDAS) or</w:t>
            </w:r>
            <w:r w:rsidRPr="00DC3277">
              <w:rPr>
                <w:rFonts w:cs="Arial"/>
              </w:rPr>
              <w:t xml:space="preserve"> Kimberley Indigenous Cognitive Assessment (KICA-Cog)</w:t>
            </w:r>
          </w:p>
          <w:p w14:paraId="201E45C4" w14:textId="77777777" w:rsidR="00E93270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Falls assessment results where relevant</w:t>
            </w:r>
            <w:r>
              <w:rPr>
                <w:rFonts w:cs="Arial"/>
              </w:rPr>
              <w:t>:</w:t>
            </w:r>
            <w:r w:rsidRPr="00DC3277">
              <w:rPr>
                <w:rFonts w:cs="Arial"/>
              </w:rPr>
              <w:t xml:space="preserve"> Falls Risk for Older People – Community setting (FROP-Com)</w:t>
            </w:r>
            <w:r>
              <w:rPr>
                <w:rFonts w:cs="Arial"/>
              </w:rPr>
              <w:t xml:space="preserve">, </w:t>
            </w:r>
            <w:r w:rsidRPr="00DC3277">
              <w:rPr>
                <w:rFonts w:cs="Arial"/>
              </w:rPr>
              <w:t>Falls Risk Assessment Tool (FRAT)</w:t>
            </w:r>
            <w:r>
              <w:rPr>
                <w:rFonts w:cs="Arial"/>
              </w:rPr>
              <w:t xml:space="preserve"> or </w:t>
            </w:r>
            <w:r w:rsidRPr="00DC3277">
              <w:rPr>
                <w:rFonts w:cs="Arial"/>
              </w:rPr>
              <w:t>Berg Balance</w:t>
            </w:r>
          </w:p>
          <w:p w14:paraId="44672C98" w14:textId="77777777" w:rsidR="00E93270" w:rsidRPr="00DC3277" w:rsidRDefault="00E93270" w:rsidP="002555EF">
            <w:pPr>
              <w:spacing w:before="60" w:after="60"/>
              <w:rPr>
                <w:rFonts w:cs="Arial"/>
              </w:rPr>
            </w:pPr>
          </w:p>
          <w:p w14:paraId="4526AC7E" w14:textId="77777777" w:rsidR="00E93270" w:rsidRPr="00DC3277" w:rsidRDefault="00E93270" w:rsidP="002555EF">
            <w:pPr>
              <w:rPr>
                <w:rFonts w:cs="Arial"/>
                <w:b/>
              </w:rPr>
            </w:pPr>
            <w:r w:rsidRPr="00DC3277">
              <w:rPr>
                <w:rFonts w:cs="Arial"/>
                <w:b/>
              </w:rPr>
              <w:t>Confirm</w:t>
            </w:r>
          </w:p>
          <w:p w14:paraId="77B43F7A" w14:textId="23B4C831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If alternative access options are required to operate the alarm i</w:t>
            </w:r>
            <w:r w:rsidR="00F20F59">
              <w:rPr>
                <w:rFonts w:cs="Arial"/>
              </w:rPr>
              <w:t>.</w:t>
            </w:r>
            <w:r w:rsidRPr="00DC3277">
              <w:rPr>
                <w:rFonts w:cs="Arial"/>
              </w:rPr>
              <w:t>e. pressure pad, wand switch, sip/puff accessory</w:t>
            </w:r>
          </w:p>
          <w:p w14:paraId="58F42620" w14:textId="77777777" w:rsidR="00E93270" w:rsidRPr="00336555" w:rsidRDefault="00E93270" w:rsidP="002555EF">
            <w:pPr>
              <w:spacing w:before="60" w:after="60"/>
              <w:ind w:left="360"/>
            </w:pPr>
          </w:p>
        </w:tc>
      </w:tr>
      <w:tr w:rsidR="00E93270" w:rsidRPr="00336555" w14:paraId="7D34A081" w14:textId="77777777" w:rsidTr="002555E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4DBBED5" w14:textId="77777777" w:rsidR="00E93270" w:rsidRPr="00336555" w:rsidRDefault="00E93270" w:rsidP="002555EF">
            <w:pPr>
              <w:rPr>
                <w:b/>
              </w:rPr>
            </w:pPr>
            <w:r w:rsidRPr="00336555">
              <w:rPr>
                <w:b/>
              </w:rPr>
              <w:t>Social/Carer Factors</w:t>
            </w:r>
          </w:p>
        </w:tc>
      </w:tr>
      <w:tr w:rsidR="00E93270" w:rsidRPr="00336555" w14:paraId="72FC88AC" w14:textId="77777777" w:rsidTr="002555EF">
        <w:tc>
          <w:tcPr>
            <w:tcW w:w="5000" w:type="pct"/>
            <w:gridSpan w:val="2"/>
          </w:tcPr>
          <w:p w14:paraId="66FE7EBB" w14:textId="77777777" w:rsidR="00E93270" w:rsidRPr="00DC3277" w:rsidRDefault="00E93270" w:rsidP="002555EF">
            <w:pPr>
              <w:rPr>
                <w:rFonts w:cs="Arial"/>
                <w:b/>
              </w:rPr>
            </w:pPr>
            <w:r w:rsidRPr="00DC3277">
              <w:rPr>
                <w:rFonts w:cs="Arial"/>
                <w:b/>
              </w:rPr>
              <w:t>Confirm</w:t>
            </w:r>
          </w:p>
          <w:p w14:paraId="4C50AE2A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Provision of equipment will facilitate the physical care of the client and/or reduce strain on carers</w:t>
            </w:r>
          </w:p>
          <w:p w14:paraId="4E36601E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Carer/client are in agreement of client using the equipment</w:t>
            </w:r>
          </w:p>
          <w:p w14:paraId="17123718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Carer/client understands how to use the equipment</w:t>
            </w:r>
          </w:p>
          <w:p w14:paraId="30D83F2E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>
              <w:rPr>
                <w:rFonts w:cs="Arial"/>
              </w:rPr>
              <w:t>Sufficient</w:t>
            </w:r>
            <w:r w:rsidRPr="00DC3277">
              <w:rPr>
                <w:rFonts w:cs="Arial"/>
              </w:rPr>
              <w:t xml:space="preserve"> contact persons are listed on the </w:t>
            </w:r>
            <w:r>
              <w:rPr>
                <w:rFonts w:cs="Arial"/>
              </w:rPr>
              <w:t>resource</w:t>
            </w:r>
            <w:r w:rsidRPr="00DC3277">
              <w:rPr>
                <w:rFonts w:cs="Arial"/>
              </w:rPr>
              <w:t xml:space="preserve"> form </w:t>
            </w:r>
            <w:r>
              <w:rPr>
                <w:rFonts w:cs="Arial"/>
              </w:rPr>
              <w:t>as required by PERS</w:t>
            </w:r>
          </w:p>
        </w:tc>
      </w:tr>
      <w:tr w:rsidR="00E93270" w:rsidRPr="00336555" w14:paraId="67562A07" w14:textId="77777777" w:rsidTr="002555E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141AD4" w14:textId="77777777" w:rsidR="00E93270" w:rsidRPr="00336555" w:rsidRDefault="00E93270" w:rsidP="002555EF">
            <w:pPr>
              <w:rPr>
                <w:b/>
              </w:rPr>
            </w:pPr>
            <w:r w:rsidRPr="00336555">
              <w:rPr>
                <w:b/>
              </w:rPr>
              <w:t>Environmental and Equipment Factors</w:t>
            </w:r>
          </w:p>
        </w:tc>
      </w:tr>
      <w:tr w:rsidR="00E93270" w:rsidRPr="00336555" w14:paraId="287173ED" w14:textId="77777777" w:rsidTr="002555EF">
        <w:tc>
          <w:tcPr>
            <w:tcW w:w="5000" w:type="pct"/>
            <w:gridSpan w:val="2"/>
          </w:tcPr>
          <w:p w14:paraId="6F9747C6" w14:textId="77777777" w:rsidR="00E93270" w:rsidRPr="00DC3277" w:rsidRDefault="00E93270" w:rsidP="002555EF">
            <w:pPr>
              <w:rPr>
                <w:rFonts w:cs="Arial"/>
                <w:b/>
              </w:rPr>
            </w:pPr>
            <w:r w:rsidRPr="00336555">
              <w:t xml:space="preserve"> </w:t>
            </w:r>
            <w:r w:rsidRPr="00DC3277">
              <w:rPr>
                <w:rFonts w:cs="Arial"/>
                <w:b/>
              </w:rPr>
              <w:t>Confirm</w:t>
            </w:r>
          </w:p>
          <w:p w14:paraId="19A97317" w14:textId="77777777" w:rsidR="00E93270" w:rsidRPr="00DC3277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Client has a phone line</w:t>
            </w:r>
            <w:r>
              <w:rPr>
                <w:rFonts w:cs="Arial"/>
              </w:rPr>
              <w:t xml:space="preserve"> or has network mobile coverage</w:t>
            </w:r>
          </w:p>
          <w:p w14:paraId="14B0EC16" w14:textId="77777777" w:rsidR="00E93270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 xml:space="preserve">Does client have more than one phone, an answering machine, fax or dial up modem?  If so client may require Mode 3 wiring or a Mode 3 Adaptor Plug to protect the client if a phone is left off the </w:t>
            </w:r>
            <w:r w:rsidRPr="00DC3277">
              <w:rPr>
                <w:rFonts w:cs="Arial"/>
              </w:rPr>
              <w:lastRenderedPageBreak/>
              <w:t>hook, the phone is being used or is faulty as it will allow the PERS to use the phone line to send an emergency call</w:t>
            </w:r>
          </w:p>
          <w:p w14:paraId="625DBA58" w14:textId="070A71B3" w:rsidR="00E93270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If client has</w:t>
            </w:r>
            <w:r w:rsidR="00F20F59">
              <w:rPr>
                <w:rFonts w:cs="Arial"/>
              </w:rPr>
              <w:t xml:space="preserve"> NBN</w:t>
            </w:r>
            <w:r>
              <w:rPr>
                <w:rFonts w:cs="Arial"/>
              </w:rPr>
              <w:t>™ network connection, if so please ensure PERS prescribed will work on</w:t>
            </w:r>
            <w:r w:rsidR="00F20F59">
              <w:rPr>
                <w:rFonts w:cs="Arial"/>
              </w:rPr>
              <w:t xml:space="preserve"> NBN</w:t>
            </w:r>
            <w:r>
              <w:rPr>
                <w:rFonts w:cs="Arial"/>
              </w:rPr>
              <w:t xml:space="preserve">™ connection </w:t>
            </w:r>
          </w:p>
          <w:p w14:paraId="40C29E35" w14:textId="77777777" w:rsidR="00E93270" w:rsidRPr="00DC3277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 xml:space="preserve">PERS prescribed will be compatible with the persons community (i.e. there is sufficient mobile coverage in the persons community  </w:t>
            </w:r>
          </w:p>
          <w:p w14:paraId="053C21BD" w14:textId="77777777" w:rsidR="00E93270" w:rsidRPr="00DC3277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 xml:space="preserve">Power point is available to be used exclusively by the equipment, that it is 125mm (5 inches) above the floor or bench, and it is within </w:t>
            </w:r>
            <w:r>
              <w:rPr>
                <w:rFonts w:cs="Arial"/>
              </w:rPr>
              <w:t>1metre of the telephone socket</w:t>
            </w:r>
          </w:p>
          <w:p w14:paraId="6EE6F1E6" w14:textId="77777777" w:rsidR="00E93270" w:rsidRPr="00DC3277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If client has broadband internet connection</w:t>
            </w:r>
            <w:r>
              <w:rPr>
                <w:rFonts w:cs="Arial"/>
              </w:rPr>
              <w:t>.  If so,</w:t>
            </w:r>
            <w:r w:rsidRPr="00DC3277">
              <w:rPr>
                <w:rFonts w:cs="Arial"/>
              </w:rPr>
              <w:t xml:space="preserve"> an ADSL Filter may be required</w:t>
            </w:r>
          </w:p>
          <w:p w14:paraId="2CDB0522" w14:textId="77777777" w:rsidR="00E93270" w:rsidRPr="00DC3277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 w:rsidRPr="00DC3277">
              <w:rPr>
                <w:rFonts w:cs="Arial"/>
              </w:rPr>
              <w:t>If client has a monitored home security system as this interferes with the signals</w:t>
            </w:r>
          </w:p>
          <w:p w14:paraId="6960B780" w14:textId="77777777" w:rsidR="00E93270" w:rsidRPr="00DC3277" w:rsidRDefault="00E93270" w:rsidP="002555EF">
            <w:pPr>
              <w:rPr>
                <w:rFonts w:cs="Arial"/>
                <w:b/>
              </w:rPr>
            </w:pPr>
            <w:r w:rsidRPr="00DC3277">
              <w:rPr>
                <w:rFonts w:cs="Arial"/>
                <w:b/>
              </w:rPr>
              <w:t>Consider</w:t>
            </w:r>
          </w:p>
          <w:p w14:paraId="3E6C94A6" w14:textId="77777777" w:rsidR="00E93270" w:rsidRPr="00065BC1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>
              <w:rPr>
                <w:rFonts w:cs="Arial"/>
              </w:rPr>
              <w:t>If</w:t>
            </w:r>
            <w:r w:rsidRPr="00DC3277">
              <w:rPr>
                <w:rFonts w:cs="Arial"/>
              </w:rPr>
              <w:t xml:space="preserve"> an additional pendant </w:t>
            </w:r>
            <w:r>
              <w:rPr>
                <w:rFonts w:cs="Arial"/>
              </w:rPr>
              <w:t xml:space="preserve">is </w:t>
            </w:r>
            <w:r w:rsidRPr="00DC3277">
              <w:rPr>
                <w:rFonts w:cs="Arial"/>
              </w:rPr>
              <w:t>required for an additional client</w:t>
            </w:r>
          </w:p>
          <w:p w14:paraId="668F7467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>
              <w:t xml:space="preserve">Use of a surge protector to minimise damage to PERS from lighting strikes </w:t>
            </w:r>
          </w:p>
        </w:tc>
      </w:tr>
    </w:tbl>
    <w:p w14:paraId="2B801981" w14:textId="0C848067" w:rsidR="00E93270" w:rsidRDefault="00E93270" w:rsidP="00E93270">
      <w:pPr>
        <w:rPr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93270" w:rsidRPr="00336555" w14:paraId="1F7EBD70" w14:textId="77777777" w:rsidTr="00E93270">
        <w:tc>
          <w:tcPr>
            <w:tcW w:w="5000" w:type="pct"/>
            <w:shd w:val="clear" w:color="auto" w:fill="002060"/>
          </w:tcPr>
          <w:p w14:paraId="0FE6ACC5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Trial or Investigation</w:t>
            </w:r>
          </w:p>
        </w:tc>
      </w:tr>
      <w:tr w:rsidR="00E93270" w:rsidRPr="00336555" w14:paraId="288F13B3" w14:textId="77777777" w:rsidTr="002555EF">
        <w:tc>
          <w:tcPr>
            <w:tcW w:w="5000" w:type="pct"/>
          </w:tcPr>
          <w:p w14:paraId="5C362A2F" w14:textId="77777777" w:rsidR="00E93270" w:rsidRPr="00336555" w:rsidRDefault="00E93270" w:rsidP="002555EF">
            <w:pPr>
              <w:spacing w:before="60" w:after="60"/>
              <w:rPr>
                <w:b/>
              </w:rPr>
            </w:pPr>
            <w:r w:rsidRPr="00336555">
              <w:rPr>
                <w:b/>
              </w:rPr>
              <w:t>Trial</w:t>
            </w:r>
            <w:r>
              <w:rPr>
                <w:b/>
              </w:rPr>
              <w:t xml:space="preserve"> or Investigation of the equipment </w:t>
            </w:r>
            <w:r w:rsidRPr="00336555">
              <w:rPr>
                <w:b/>
              </w:rPr>
              <w:t>may be required.</w:t>
            </w:r>
          </w:p>
          <w:p w14:paraId="24FD2544" w14:textId="77777777" w:rsidR="00E93270" w:rsidRDefault="00E93270" w:rsidP="002555EF">
            <w:pPr>
              <w:pStyle w:val="PolicyHeading1DHF"/>
              <w:rPr>
                <w:b w:val="0"/>
                <w:color w:val="auto"/>
                <w:sz w:val="22"/>
                <w:szCs w:val="22"/>
              </w:rPr>
            </w:pPr>
            <w:r w:rsidRPr="002C3030">
              <w:rPr>
                <w:b w:val="0"/>
                <w:color w:val="auto"/>
                <w:sz w:val="22"/>
                <w:szCs w:val="22"/>
              </w:rPr>
              <w:t xml:space="preserve">Refer to </w:t>
            </w:r>
            <w:r>
              <w:rPr>
                <w:b w:val="0"/>
                <w:color w:val="auto"/>
                <w:sz w:val="22"/>
                <w:szCs w:val="22"/>
              </w:rPr>
              <w:t>TEP</w:t>
            </w:r>
            <w:r w:rsidRPr="002C3030">
              <w:rPr>
                <w:b w:val="0"/>
                <w:color w:val="auto"/>
                <w:sz w:val="22"/>
                <w:szCs w:val="22"/>
              </w:rPr>
              <w:t xml:space="preserve"> Approved Equipment List.</w:t>
            </w:r>
          </w:p>
          <w:p w14:paraId="1E8B7387" w14:textId="77777777" w:rsidR="00E93270" w:rsidRPr="00CC3F3B" w:rsidRDefault="00E93270" w:rsidP="002555EF">
            <w:pPr>
              <w:rPr>
                <w:b/>
              </w:rPr>
            </w:pPr>
            <w:r w:rsidRPr="00CC3F3B">
              <w:rPr>
                <w:b/>
              </w:rPr>
              <w:t>Provide</w:t>
            </w:r>
          </w:p>
          <w:p w14:paraId="66DBC301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C3277">
              <w:rPr>
                <w:rFonts w:cs="Arial"/>
              </w:rPr>
              <w:t>etailed information regarding all alternative aids o</w:t>
            </w:r>
            <w:r>
              <w:rPr>
                <w:rFonts w:cs="Arial"/>
              </w:rPr>
              <w:t>r devices trialled/investigated</w:t>
            </w:r>
          </w:p>
          <w:p w14:paraId="17D4E9B6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C3277">
              <w:rPr>
                <w:rFonts w:cs="Arial"/>
              </w:rPr>
              <w:t>bjective comparisons of the options considered and trialled/investigated and their client’s ability to use alternative</w:t>
            </w:r>
            <w:r>
              <w:rPr>
                <w:rFonts w:cs="Arial"/>
              </w:rPr>
              <w:t xml:space="preserve"> options</w:t>
            </w:r>
          </w:p>
          <w:p w14:paraId="5E16B79E" w14:textId="77777777" w:rsidR="00E93270" w:rsidRPr="00336555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>
              <w:rPr>
                <w:rFonts w:cs="Arial"/>
              </w:rPr>
              <w:t>R</w:t>
            </w:r>
            <w:r w:rsidRPr="00DC3277">
              <w:rPr>
                <w:rFonts w:cs="Arial"/>
              </w:rPr>
              <w:t>easons why comparative options were unsuitable including information about the client’s functional use of the equipment such as ability to operate the equipment, change or recharge batteries and trouble s</w:t>
            </w:r>
            <w:r>
              <w:rPr>
                <w:rFonts w:cs="Arial"/>
              </w:rPr>
              <w:t>hoot problems, where applicable</w:t>
            </w:r>
          </w:p>
        </w:tc>
      </w:tr>
      <w:tr w:rsidR="00E93270" w:rsidRPr="00336555" w14:paraId="7D5DB84A" w14:textId="77777777" w:rsidTr="00E93270">
        <w:tc>
          <w:tcPr>
            <w:tcW w:w="5000" w:type="pct"/>
            <w:shd w:val="clear" w:color="auto" w:fill="002060"/>
          </w:tcPr>
          <w:p w14:paraId="13F371B4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 xml:space="preserve">Plan for Delivery </w:t>
            </w:r>
          </w:p>
        </w:tc>
      </w:tr>
      <w:tr w:rsidR="00E93270" w:rsidRPr="00336555" w14:paraId="2C190224" w14:textId="77777777" w:rsidTr="002555EF">
        <w:tc>
          <w:tcPr>
            <w:tcW w:w="5000" w:type="pct"/>
          </w:tcPr>
          <w:p w14:paraId="0F73EE0A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Confirm who will set up equipment and train client in the use of equipment</w:t>
            </w:r>
          </w:p>
          <w:p w14:paraId="6D7FB28C" w14:textId="77777777" w:rsidR="00E93270" w:rsidRDefault="00E93270" w:rsidP="002555EF">
            <w:pPr>
              <w:rPr>
                <w:b/>
              </w:rPr>
            </w:pPr>
            <w:r>
              <w:rPr>
                <w:b/>
              </w:rPr>
              <w:t>Provide</w:t>
            </w:r>
          </w:p>
          <w:p w14:paraId="56F1988C" w14:textId="77777777" w:rsidR="00E93270" w:rsidRPr="00DC3277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DC3277">
              <w:rPr>
                <w:rFonts w:cs="Arial"/>
              </w:rPr>
              <w:t>ame and contact details of client/carer and any clinicians who must be notified prior to delivery</w:t>
            </w:r>
          </w:p>
          <w:p w14:paraId="0D761E16" w14:textId="77777777" w:rsidR="00E93270" w:rsidRDefault="00E93270" w:rsidP="00E93270">
            <w:pPr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DC3277">
              <w:rPr>
                <w:rFonts w:cs="Arial"/>
              </w:rPr>
              <w:t>Delivery instructions</w:t>
            </w:r>
          </w:p>
          <w:p w14:paraId="076CE2B3" w14:textId="77777777" w:rsidR="00E93270" w:rsidRPr="00CE5CFD" w:rsidRDefault="00E93270" w:rsidP="00E9327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 w:rsidRPr="00B00200">
              <w:rPr>
                <w:rFonts w:cs="Arial"/>
              </w:rPr>
              <w:t xml:space="preserve">If equipment is being delivered to a remote location please provide name of freight company (if known), community clinic or aged care facility, contact person, contact number and an email address.   </w:t>
            </w:r>
          </w:p>
          <w:p w14:paraId="3F13EC38" w14:textId="77777777" w:rsidR="00E93270" w:rsidRDefault="00E93270" w:rsidP="00E93270">
            <w:pPr>
              <w:numPr>
                <w:ilvl w:val="0"/>
                <w:numId w:val="12"/>
              </w:numPr>
              <w:spacing w:before="60" w:after="60"/>
            </w:pPr>
            <w:r>
              <w:t>If replacement item is being prescribed, a plan to remove/return existing/unsuitable item on the prescription e</w:t>
            </w:r>
            <w:r w:rsidR="007E1418">
              <w:t>.</w:t>
            </w:r>
            <w:r>
              <w:t>g. TEP to collect item being replaced or prescriber to arrange return of item being replaced.</w:t>
            </w:r>
          </w:p>
          <w:p w14:paraId="7741A30C" w14:textId="66936198" w:rsidR="005C3D6E" w:rsidRPr="00336555" w:rsidRDefault="005C3D6E" w:rsidP="005C3D6E">
            <w:pPr>
              <w:spacing w:before="60" w:after="60"/>
              <w:ind w:left="360"/>
            </w:pPr>
          </w:p>
        </w:tc>
      </w:tr>
      <w:tr w:rsidR="00E93270" w:rsidRPr="00336555" w14:paraId="364FCD04" w14:textId="77777777" w:rsidTr="00E93270">
        <w:tc>
          <w:tcPr>
            <w:tcW w:w="5000" w:type="pct"/>
            <w:shd w:val="clear" w:color="auto" w:fill="002060"/>
          </w:tcPr>
          <w:p w14:paraId="5673DF71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>Plan for Equipment Review</w:t>
            </w:r>
          </w:p>
        </w:tc>
      </w:tr>
      <w:tr w:rsidR="00E93270" w:rsidRPr="00336555" w14:paraId="75EFF28C" w14:textId="77777777" w:rsidTr="002555EF">
        <w:tc>
          <w:tcPr>
            <w:tcW w:w="5000" w:type="pct"/>
          </w:tcPr>
          <w:p w14:paraId="2E78D990" w14:textId="77777777" w:rsidR="00E93270" w:rsidRPr="00DB7332" w:rsidRDefault="00E93270" w:rsidP="002555EF">
            <w:pPr>
              <w:spacing w:before="60" w:after="60"/>
              <w:ind w:left="6"/>
            </w:pPr>
            <w:r w:rsidRPr="00DB7332">
              <w:t xml:space="preserve">It is the prescribing therapist’s responsibility to ensure correct fitting and client education for </w:t>
            </w:r>
            <w:r>
              <w:t>TEP</w:t>
            </w:r>
            <w:r w:rsidRPr="00DB7332">
              <w:t xml:space="preserve"> equipment on issue.</w:t>
            </w:r>
            <w:r>
              <w:t xml:space="preserve"> It is essential that both Level 1 equipment is reviewed within 12 weeks of delivery and use. </w:t>
            </w:r>
          </w:p>
          <w:p w14:paraId="6D3F2B3F" w14:textId="77777777" w:rsidR="00E93270" w:rsidRDefault="00E93270" w:rsidP="002555EF">
            <w:pPr>
              <w:ind w:left="6"/>
              <w:jc w:val="both"/>
            </w:pPr>
            <w:r w:rsidRPr="00DB7332">
              <w:lastRenderedPageBreak/>
              <w:t>Prescribers must indicate which mode of follow up they will undertake. Options include: home visit, telephone call, client advised to contact prescriber as needed or the prescriber may need to make arrangements to refer follow up to an alternate provider, where appropriate.</w:t>
            </w:r>
          </w:p>
          <w:p w14:paraId="2B6B0A19" w14:textId="20EB99F3" w:rsidR="00E93270" w:rsidRPr="0025185A" w:rsidRDefault="00E93270" w:rsidP="002555EF">
            <w:pPr>
              <w:tabs>
                <w:tab w:val="left" w:pos="2515"/>
              </w:tabs>
              <w:spacing w:before="60" w:after="60"/>
              <w:rPr>
                <w:rFonts w:cs="Arial"/>
                <w:b/>
              </w:rPr>
            </w:pPr>
            <w:r w:rsidRPr="0025185A">
              <w:rPr>
                <w:rFonts w:cs="Arial"/>
                <w:b/>
              </w:rPr>
              <w:t>It is strongly recommended that personal alarms</w:t>
            </w:r>
            <w:r>
              <w:rPr>
                <w:rFonts w:cs="Arial"/>
                <w:b/>
              </w:rPr>
              <w:t xml:space="preserve"> (monitored and non-monitored)</w:t>
            </w:r>
            <w:r w:rsidRPr="0025185A">
              <w:rPr>
                <w:rFonts w:cs="Arial"/>
                <w:b/>
              </w:rPr>
              <w:t xml:space="preserve"> are registered with the </w:t>
            </w:r>
            <w:r w:rsidR="00F20F59">
              <w:rPr>
                <w:rFonts w:cs="Arial"/>
              </w:rPr>
              <w:t>NBN</w:t>
            </w:r>
            <w:r w:rsidRPr="0025185A">
              <w:rPr>
                <w:rFonts w:cs="Arial"/>
                <w:b/>
              </w:rPr>
              <w:t xml:space="preserve">™ </w:t>
            </w:r>
            <w:r>
              <w:rPr>
                <w:rFonts w:cs="Arial"/>
                <w:b/>
              </w:rPr>
              <w:t xml:space="preserve">Medical Alarm Register </w:t>
            </w:r>
            <w:r w:rsidRPr="0025185A">
              <w:rPr>
                <w:rFonts w:cs="Arial"/>
                <w:b/>
              </w:rPr>
              <w:t>to help identify homes where support may be need to help minimise a break in services. Registration is free, please see nbn.com.au/medical</w:t>
            </w:r>
            <w:r w:rsidR="007E1418">
              <w:rPr>
                <w:rFonts w:cs="Arial"/>
                <w:b/>
              </w:rPr>
              <w:t xml:space="preserve"> </w:t>
            </w:r>
            <w:r w:rsidRPr="0025185A">
              <w:rPr>
                <w:rFonts w:cs="Arial"/>
                <w:b/>
              </w:rPr>
              <w:t>register for further details.</w:t>
            </w:r>
          </w:p>
          <w:p w14:paraId="446F1E73" w14:textId="77777777" w:rsidR="00E93270" w:rsidRPr="00336555" w:rsidRDefault="00E93270" w:rsidP="002555EF">
            <w:pPr>
              <w:tabs>
                <w:tab w:val="left" w:pos="2515"/>
              </w:tabs>
              <w:spacing w:before="60" w:after="60"/>
            </w:pPr>
          </w:p>
        </w:tc>
      </w:tr>
      <w:tr w:rsidR="00E93270" w:rsidRPr="00336555" w14:paraId="4D9EB53C" w14:textId="77777777" w:rsidTr="00E93270">
        <w:tc>
          <w:tcPr>
            <w:tcW w:w="5000" w:type="pct"/>
            <w:shd w:val="clear" w:color="auto" w:fill="002060"/>
          </w:tcPr>
          <w:p w14:paraId="1138DDB9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lastRenderedPageBreak/>
              <w:t>Resources</w:t>
            </w:r>
          </w:p>
        </w:tc>
      </w:tr>
      <w:tr w:rsidR="00E93270" w:rsidRPr="00336555" w14:paraId="481760BE" w14:textId="77777777" w:rsidTr="002555EF">
        <w:tc>
          <w:tcPr>
            <w:tcW w:w="5000" w:type="pct"/>
          </w:tcPr>
          <w:p w14:paraId="5C9B8D05" w14:textId="77777777" w:rsidR="00E93270" w:rsidRDefault="00E93270" w:rsidP="002555EF">
            <w:pPr>
              <w:rPr>
                <w:rFonts w:cs="Arial"/>
              </w:rPr>
            </w:pPr>
            <w:r>
              <w:rPr>
                <w:rFonts w:cs="Arial"/>
              </w:rPr>
              <w:t>Resources are to be submitted with a prescription form.</w:t>
            </w:r>
          </w:p>
          <w:p w14:paraId="567DEAEE" w14:textId="77777777" w:rsidR="00E93270" w:rsidRDefault="00E93270" w:rsidP="00E93270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cs="Arial"/>
              </w:rPr>
            </w:pPr>
            <w:r>
              <w:t>When completing a prescription for a PERS provide</w:t>
            </w:r>
            <w:r>
              <w:rPr>
                <w:rFonts w:cs="Arial"/>
                <w:b/>
              </w:rPr>
              <w:t xml:space="preserve"> one</w:t>
            </w:r>
            <w:r>
              <w:rPr>
                <w:rFonts w:cs="Arial"/>
              </w:rPr>
              <w:t xml:space="preserve"> of the following: </w:t>
            </w:r>
          </w:p>
          <w:p w14:paraId="37AA9ECD" w14:textId="77777777" w:rsidR="00E93270" w:rsidRDefault="00E93270" w:rsidP="00E93270">
            <w:pPr>
              <w:numPr>
                <w:ilvl w:val="0"/>
                <w:numId w:val="14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Mini Mental State Examination (MMSE)</w:t>
            </w:r>
            <w:r>
              <w:rPr>
                <w:rFonts w:cs="Arial"/>
              </w:rPr>
              <w:br/>
              <w:t xml:space="preserve">http://www.dementia-assessment.com.au/cognitive </w:t>
            </w:r>
          </w:p>
          <w:p w14:paraId="279AFF5B" w14:textId="77777777" w:rsidR="00E93270" w:rsidRDefault="00E93270" w:rsidP="002555EF">
            <w:pPr>
              <w:ind w:left="720"/>
              <w:rPr>
                <w:rFonts w:cs="Arial"/>
              </w:rPr>
            </w:pPr>
            <w:r>
              <w:rPr>
                <w:rFonts w:cs="Arial"/>
                <w:b/>
              </w:rPr>
              <w:t>OR</w:t>
            </w:r>
          </w:p>
          <w:p w14:paraId="00431A95" w14:textId="77777777" w:rsidR="00E93270" w:rsidRPr="000261F0" w:rsidRDefault="00E93270" w:rsidP="00E9327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Rowland Universal Dementia Assessment Scale (RUDAS)</w:t>
            </w:r>
            <w:r>
              <w:rPr>
                <w:rFonts w:cs="Arial"/>
              </w:rPr>
              <w:br/>
            </w:r>
            <w:r w:rsidRPr="000261F0">
              <w:rPr>
                <w:rStyle w:val="Hyperlink"/>
              </w:rPr>
              <w:t>http://www.dementia-assessment.com.au/cognitive</w:t>
            </w:r>
          </w:p>
          <w:p w14:paraId="295F7569" w14:textId="77777777" w:rsidR="00E93270" w:rsidRPr="000261F0" w:rsidRDefault="00E93270" w:rsidP="002555EF">
            <w:pPr>
              <w:ind w:left="720"/>
              <w:rPr>
                <w:rFonts w:cs="Arial"/>
              </w:rPr>
            </w:pPr>
            <w:r w:rsidRPr="000261F0">
              <w:rPr>
                <w:rFonts w:cs="Arial"/>
                <w:b/>
              </w:rPr>
              <w:t>OR</w:t>
            </w:r>
          </w:p>
          <w:p w14:paraId="4E280839" w14:textId="77777777" w:rsidR="00E93270" w:rsidRPr="000261F0" w:rsidRDefault="00E93270" w:rsidP="00E93270">
            <w:pPr>
              <w:numPr>
                <w:ilvl w:val="0"/>
                <w:numId w:val="15"/>
              </w:numPr>
              <w:spacing w:before="120" w:after="0"/>
              <w:ind w:left="714" w:hanging="357"/>
              <w:rPr>
                <w:rStyle w:val="Hyperlink"/>
              </w:rPr>
            </w:pPr>
            <w:r w:rsidRPr="000261F0">
              <w:rPr>
                <w:rFonts w:cs="Arial"/>
              </w:rPr>
              <w:t xml:space="preserve">Kimberley Indigenous Cognitive Assessment (KICA-Cog) </w:t>
            </w:r>
            <w:r w:rsidRPr="000261F0">
              <w:rPr>
                <w:rFonts w:cs="Arial"/>
              </w:rPr>
              <w:br/>
            </w:r>
            <w:r w:rsidRPr="000261F0">
              <w:rPr>
                <w:rStyle w:val="Hyperlink"/>
              </w:rPr>
              <w:t xml:space="preserve">http://www.dementia-assessment.com.au/cognitive </w:t>
            </w:r>
          </w:p>
          <w:p w14:paraId="70D05B14" w14:textId="77777777" w:rsidR="00E93270" w:rsidRPr="000261F0" w:rsidRDefault="00E93270" w:rsidP="002555EF">
            <w:pPr>
              <w:ind w:left="714"/>
              <w:rPr>
                <w:rStyle w:val="Hyperlink"/>
              </w:rPr>
            </w:pPr>
            <w:r w:rsidRPr="000261F0">
              <w:rPr>
                <w:rStyle w:val="Hyperlink"/>
              </w:rPr>
              <w:t xml:space="preserve">or </w:t>
            </w:r>
          </w:p>
          <w:p w14:paraId="04430F72" w14:textId="77777777" w:rsidR="00E93270" w:rsidRPr="000261F0" w:rsidRDefault="00E93270" w:rsidP="002555EF">
            <w:pPr>
              <w:ind w:left="714"/>
            </w:pPr>
            <w:r w:rsidRPr="000261F0">
              <w:rPr>
                <w:rStyle w:val="Hyperlink"/>
              </w:rPr>
              <w:t>http://www.wacha.org.au/kica.html</w:t>
            </w:r>
          </w:p>
          <w:p w14:paraId="1BB44196" w14:textId="77777777" w:rsidR="00E93270" w:rsidRPr="000261F0" w:rsidRDefault="00E93270" w:rsidP="002555EF">
            <w:pPr>
              <w:ind w:left="714"/>
              <w:rPr>
                <w:rFonts w:cs="Arial"/>
              </w:rPr>
            </w:pPr>
            <w:r w:rsidRPr="000261F0">
              <w:rPr>
                <w:rFonts w:cs="Arial"/>
              </w:rPr>
              <w:t xml:space="preserve">All cognitive screening tools available at </w:t>
            </w:r>
            <w:r w:rsidRPr="000261F0">
              <w:rPr>
                <w:rStyle w:val="Hyperlink"/>
              </w:rPr>
              <w:t>www.dementia-assessment.com.au/cognitive</w:t>
            </w:r>
          </w:p>
          <w:p w14:paraId="6D44E1AB" w14:textId="77777777" w:rsidR="00E93270" w:rsidRPr="000261F0" w:rsidRDefault="00E93270" w:rsidP="002555EF">
            <w:pPr>
              <w:ind w:left="357"/>
              <w:rPr>
                <w:rFonts w:cs="Arial"/>
                <w:b/>
              </w:rPr>
            </w:pPr>
            <w:r w:rsidRPr="000261F0">
              <w:rPr>
                <w:rFonts w:cs="Arial"/>
                <w:b/>
              </w:rPr>
              <w:t>AND</w:t>
            </w:r>
            <w:r>
              <w:rPr>
                <w:rFonts w:cs="Arial"/>
                <w:b/>
              </w:rPr>
              <w:t xml:space="preserve"> one</w:t>
            </w:r>
            <w:r>
              <w:rPr>
                <w:rFonts w:cs="Arial"/>
              </w:rPr>
              <w:t xml:space="preserve"> of the following:</w:t>
            </w:r>
          </w:p>
          <w:p w14:paraId="06925695" w14:textId="77777777" w:rsidR="00E93270" w:rsidRDefault="00E93270" w:rsidP="00E93270">
            <w:pPr>
              <w:keepNext/>
              <w:numPr>
                <w:ilvl w:val="0"/>
                <w:numId w:val="15"/>
              </w:numPr>
              <w:spacing w:before="120" w:after="120"/>
            </w:pPr>
            <w:r w:rsidRPr="000261F0">
              <w:rPr>
                <w:rFonts w:cs="Arial"/>
              </w:rPr>
              <w:t>Falls Risk for Older People – Community setting (FROP-Com)</w:t>
            </w:r>
            <w:r w:rsidRPr="000261F0">
              <w:rPr>
                <w:rFonts w:cs="Arial"/>
              </w:rPr>
              <w:br/>
              <w:t>http://www.mednwh.unimelb.edu.au/nari_research/pdf_docs/FropCom2010/Frop-Com-Guidelines-Sept-2010.pdf</w:t>
            </w:r>
          </w:p>
          <w:p w14:paraId="3710568A" w14:textId="77777777" w:rsidR="00E93270" w:rsidRDefault="00E93270" w:rsidP="002555EF">
            <w:pPr>
              <w:ind w:left="720"/>
              <w:rPr>
                <w:rFonts w:cs="Arial"/>
              </w:rPr>
            </w:pPr>
            <w:r>
              <w:rPr>
                <w:rFonts w:cs="Arial"/>
                <w:b/>
              </w:rPr>
              <w:t>OR</w:t>
            </w:r>
          </w:p>
          <w:p w14:paraId="08D4BFC2" w14:textId="77777777" w:rsidR="00E93270" w:rsidRPr="000261F0" w:rsidRDefault="00E93270" w:rsidP="00E93270">
            <w:pPr>
              <w:numPr>
                <w:ilvl w:val="0"/>
                <w:numId w:val="15"/>
              </w:numPr>
              <w:spacing w:before="120" w:after="120"/>
              <w:rPr>
                <w:rStyle w:val="Hyperlink"/>
              </w:rPr>
            </w:pPr>
            <w:r w:rsidRPr="000261F0">
              <w:rPr>
                <w:rFonts w:cs="Arial"/>
              </w:rPr>
              <w:t>Falls Risk Assessment Tool (FRAT)</w:t>
            </w:r>
            <w:r w:rsidRPr="000261F0">
              <w:rPr>
                <w:rFonts w:cs="Arial"/>
              </w:rPr>
              <w:br/>
            </w:r>
            <w:r w:rsidRPr="000261F0">
              <w:rPr>
                <w:rStyle w:val="Hyperlink"/>
              </w:rPr>
              <w:t>http://www.health.vic.gov.au/agedcare/maintaining/falls_dev/downloads/b2b_1a_frat.pdf</w:t>
            </w:r>
          </w:p>
          <w:p w14:paraId="64CD1DDC" w14:textId="77777777" w:rsidR="00E93270" w:rsidRPr="000261F0" w:rsidRDefault="00E93270" w:rsidP="002555EF">
            <w:pPr>
              <w:ind w:left="720"/>
            </w:pPr>
            <w:r w:rsidRPr="000261F0">
              <w:rPr>
                <w:rFonts w:cs="Arial"/>
                <w:b/>
              </w:rPr>
              <w:t>OR</w:t>
            </w:r>
          </w:p>
          <w:p w14:paraId="2BFF7D74" w14:textId="77777777" w:rsidR="00E93270" w:rsidRDefault="00E93270" w:rsidP="002555EF">
            <w:pPr>
              <w:spacing w:before="60" w:after="60"/>
              <w:ind w:left="744"/>
              <w:rPr>
                <w:rStyle w:val="Hyperlink"/>
              </w:rPr>
            </w:pPr>
            <w:r w:rsidRPr="000261F0">
              <w:rPr>
                <w:rFonts w:cs="Arial"/>
              </w:rPr>
              <w:t xml:space="preserve">Berg Balance </w:t>
            </w:r>
            <w:r>
              <w:rPr>
                <w:rFonts w:cs="Arial"/>
              </w:rPr>
              <w:t>Scale</w:t>
            </w:r>
            <w:r w:rsidRPr="000261F0">
              <w:rPr>
                <w:rFonts w:cs="Arial"/>
              </w:rPr>
              <w:br/>
            </w:r>
            <w:hyperlink r:id="rId7" w:history="1">
              <w:r w:rsidRPr="006A57C0">
                <w:rPr>
                  <w:rStyle w:val="Hyperlink"/>
                </w:rPr>
                <w:t>www.fallssa.com.au/documents/hp/Berg_Balance_Scale.pdf</w:t>
              </w:r>
            </w:hyperlink>
          </w:p>
          <w:p w14:paraId="037CA0A3" w14:textId="77777777" w:rsidR="00E93270" w:rsidRPr="005C3D6E" w:rsidRDefault="00E93270" w:rsidP="002555EF">
            <w:pPr>
              <w:spacing w:before="60" w:after="60"/>
              <w:rPr>
                <w:rStyle w:val="Hyperlink"/>
                <w:sz w:val="10"/>
              </w:rPr>
            </w:pPr>
          </w:p>
          <w:p w14:paraId="5F2B4A5B" w14:textId="77777777" w:rsidR="00E93270" w:rsidRPr="00DB05D2" w:rsidRDefault="00E93270" w:rsidP="002555EF">
            <w:pPr>
              <w:spacing w:before="60" w:after="60"/>
              <w:ind w:left="319"/>
              <w:rPr>
                <w:rStyle w:val="Hyperlink"/>
                <w:color w:val="auto"/>
              </w:rPr>
            </w:pPr>
            <w:r w:rsidRPr="00F612B7">
              <w:rPr>
                <w:rStyle w:val="Hyperlink"/>
                <w:b/>
                <w:color w:val="auto"/>
              </w:rPr>
              <w:t xml:space="preserve">AND </w:t>
            </w:r>
            <w:r w:rsidRPr="00DB05D2">
              <w:rPr>
                <w:rStyle w:val="Hyperlink"/>
                <w:color w:val="auto"/>
              </w:rPr>
              <w:t xml:space="preserve">the following: </w:t>
            </w:r>
          </w:p>
          <w:p w14:paraId="1AD0674B" w14:textId="77777777" w:rsidR="00E93270" w:rsidRPr="00336555" w:rsidRDefault="00E93270" w:rsidP="002555EF">
            <w:pPr>
              <w:pStyle w:val="ListParagraph"/>
              <w:ind w:left="717"/>
            </w:pPr>
            <w:r w:rsidRPr="00DB05D2">
              <w:rPr>
                <w:rStyle w:val="Hyperlink"/>
                <w:color w:val="auto"/>
              </w:rPr>
              <w:t xml:space="preserve">Emergency Contact List (EA-EC)  </w:t>
            </w:r>
          </w:p>
        </w:tc>
      </w:tr>
      <w:tr w:rsidR="00E93270" w:rsidRPr="00336555" w14:paraId="1757DCCE" w14:textId="77777777" w:rsidTr="00E93270">
        <w:tc>
          <w:tcPr>
            <w:tcW w:w="5000" w:type="pct"/>
            <w:shd w:val="clear" w:color="auto" w:fill="002060"/>
          </w:tcPr>
          <w:p w14:paraId="43E73137" w14:textId="77777777" w:rsidR="00E93270" w:rsidRPr="00336555" w:rsidRDefault="00E93270" w:rsidP="002555EF">
            <w:pPr>
              <w:rPr>
                <w:b/>
                <w:sz w:val="28"/>
                <w:szCs w:val="28"/>
              </w:rPr>
            </w:pPr>
            <w:r w:rsidRPr="00336555">
              <w:rPr>
                <w:b/>
                <w:sz w:val="28"/>
                <w:szCs w:val="28"/>
              </w:rPr>
              <w:t xml:space="preserve">For </w:t>
            </w:r>
            <w:bookmarkStart w:id="1" w:name="ref"/>
            <w:r w:rsidRPr="00336555">
              <w:rPr>
                <w:b/>
                <w:sz w:val="28"/>
                <w:szCs w:val="28"/>
              </w:rPr>
              <w:t>Reference</w:t>
            </w:r>
            <w:bookmarkEnd w:id="1"/>
          </w:p>
        </w:tc>
      </w:tr>
      <w:tr w:rsidR="00E93270" w:rsidRPr="00336555" w14:paraId="1BC30C6F" w14:textId="77777777" w:rsidTr="002555EF">
        <w:trPr>
          <w:trHeight w:val="371"/>
        </w:trPr>
        <w:tc>
          <w:tcPr>
            <w:tcW w:w="5000" w:type="pct"/>
          </w:tcPr>
          <w:p w14:paraId="20BE8BCD" w14:textId="77777777" w:rsidR="00E93270" w:rsidRDefault="00E93270" w:rsidP="00E93270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PERS</w:t>
            </w:r>
            <w:r w:rsidRPr="00DC3277">
              <w:rPr>
                <w:rFonts w:cs="Arial"/>
              </w:rPr>
              <w:t xml:space="preserve"> installation instructions if therapist is required to set up and install</w:t>
            </w:r>
          </w:p>
          <w:p w14:paraId="4905FD75" w14:textId="038C97E5" w:rsidR="00E93270" w:rsidRDefault="00E93270" w:rsidP="00E93270">
            <w:pPr>
              <w:numPr>
                <w:ilvl w:val="0"/>
                <w:numId w:val="9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National Broadband Network (</w:t>
            </w:r>
            <w:r w:rsidR="00F20F59">
              <w:rPr>
                <w:rFonts w:cs="Arial"/>
              </w:rPr>
              <w:t>NBN</w:t>
            </w:r>
            <m:oMath>
              <m:r>
                <w:rPr>
                  <w:rFonts w:ascii="Cambria Math" w:hAnsi="Cambria Math" w:cs="Arial"/>
                </w:rPr>
                <m:t>™</m:t>
              </m:r>
            </m:oMath>
            <w:r>
              <w:rPr>
                <w:rFonts w:cs="Arial"/>
              </w:rPr>
              <w:t xml:space="preserve">) Medical alarms, autodialler or emergency call buttons - </w:t>
            </w:r>
            <w:hyperlink r:id="rId8" w:history="1">
              <w:r w:rsidRPr="002803B4">
                <w:rPr>
                  <w:rStyle w:val="Hyperlink"/>
                </w:rPr>
                <w:t>https://www.nbnco.com.au/residential/learn/device-compatibility/medical-alarms</w:t>
              </w:r>
            </w:hyperlink>
            <w:r>
              <w:rPr>
                <w:rFonts w:cs="Arial"/>
              </w:rPr>
              <w:t xml:space="preserve"> </w:t>
            </w:r>
          </w:p>
          <w:p w14:paraId="05D93E02" w14:textId="77777777" w:rsidR="00E93270" w:rsidRDefault="00E93270" w:rsidP="00E93270">
            <w:pPr>
              <w:numPr>
                <w:ilvl w:val="0"/>
                <w:numId w:val="9"/>
              </w:numPr>
              <w:spacing w:before="120" w:after="0"/>
              <w:rPr>
                <w:rFonts w:cs="Arial"/>
              </w:rPr>
            </w:pPr>
            <w:r w:rsidRPr="00401E9E">
              <w:rPr>
                <w:rFonts w:cs="Arial"/>
              </w:rPr>
              <w:lastRenderedPageBreak/>
              <w:t>Dementia Collaborative Research Centres - An Australian Government Initiative</w:t>
            </w:r>
          </w:p>
          <w:p w14:paraId="7A2C97A8" w14:textId="7421D372" w:rsidR="00E93270" w:rsidRPr="00065BC1" w:rsidRDefault="005B336A" w:rsidP="002555EF">
            <w:pPr>
              <w:rPr>
                <w:rFonts w:cs="Arial"/>
              </w:rPr>
            </w:pPr>
            <w:r>
              <w:t xml:space="preserve">       </w:t>
            </w:r>
            <w:hyperlink r:id="rId9" w:history="1">
              <w:r w:rsidR="00E93270" w:rsidRPr="002803B4">
                <w:rPr>
                  <w:rStyle w:val="Hyperlink"/>
                </w:rPr>
                <w:t>http://www.dementia-assessment.com.au/cognitive</w:t>
              </w:r>
            </w:hyperlink>
          </w:p>
        </w:tc>
      </w:tr>
    </w:tbl>
    <w:p w14:paraId="5AA73038" w14:textId="424F5CE1" w:rsidR="003A55C2" w:rsidRPr="00F20F59" w:rsidRDefault="003A55C2" w:rsidP="003A55C2">
      <w:pPr>
        <w:rPr>
          <w:sz w:val="6"/>
        </w:rPr>
      </w:pPr>
    </w:p>
    <w:tbl>
      <w:tblPr>
        <w:tblStyle w:val="NTGtable1"/>
        <w:tblW w:w="10322" w:type="dxa"/>
        <w:tblInd w:w="0" w:type="dxa"/>
        <w:tblLook w:val="0120" w:firstRow="1" w:lastRow="0" w:firstColumn="0" w:lastColumn="1" w:noHBand="0" w:noVBand="0"/>
      </w:tblPr>
      <w:tblGrid>
        <w:gridCol w:w="3390"/>
        <w:gridCol w:w="3395"/>
        <w:gridCol w:w="3537"/>
      </w:tblGrid>
      <w:tr w:rsidR="00B968DA" w14:paraId="088566C7" w14:textId="77777777" w:rsidTr="00F2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22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AF1C7A8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Quality Assurance</w:t>
            </w:r>
          </w:p>
        </w:tc>
      </w:tr>
      <w:tr w:rsidR="00B968DA" w14:paraId="05C7A236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0C4A59B" w14:textId="77777777" w:rsidR="00B968DA" w:rsidRPr="001154BA" w:rsidRDefault="00B968DA" w:rsidP="004A515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5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1311DF76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2FB6758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Responsibility</w:t>
            </w:r>
          </w:p>
        </w:tc>
      </w:tr>
      <w:tr w:rsidR="00A35F48" w14:paraId="05D2691D" w14:textId="77777777" w:rsidTr="00F20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56A6AB80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5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055CE272" w14:textId="77777777" w:rsidR="00A35F48" w:rsidRDefault="00A35F48" w:rsidP="00A35F48">
            <w:pPr>
              <w:rPr>
                <w:sz w:val="20"/>
              </w:rPr>
            </w:pPr>
            <w:r w:rsidRPr="00A35F48">
              <w:rPr>
                <w:sz w:val="20"/>
              </w:rPr>
              <w:t xml:space="preserve">Document will be available for access via the PGC </w:t>
            </w:r>
          </w:p>
          <w:p w14:paraId="452C8E78" w14:textId="7DA35694" w:rsidR="00A35F48" w:rsidRPr="00A35F48" w:rsidRDefault="00A35F48" w:rsidP="00A35F48">
            <w:r>
              <w:rPr>
                <w:sz w:val="20"/>
              </w:rPr>
              <w:t>Notification to staff via 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6C6B5775" w14:textId="77777777" w:rsidR="00A35F48" w:rsidRDefault="00A35F48" w:rsidP="00A35F48">
            <w:pPr>
              <w:rPr>
                <w:sz w:val="20"/>
              </w:rPr>
            </w:pPr>
            <w:r>
              <w:rPr>
                <w:sz w:val="20"/>
              </w:rPr>
              <w:t>PGC Administrators</w:t>
            </w:r>
          </w:p>
          <w:p w14:paraId="58FFC573" w14:textId="77777777" w:rsidR="00A35F48" w:rsidRDefault="00A35F48" w:rsidP="00A35F48">
            <w:pPr>
              <w:rPr>
                <w:sz w:val="20"/>
              </w:rPr>
            </w:pPr>
          </w:p>
          <w:p w14:paraId="31B19CA0" w14:textId="5F0835AB" w:rsidR="00A35F48" w:rsidRPr="00A35F48" w:rsidRDefault="00A35F48" w:rsidP="00A35F48">
            <w:r>
              <w:rPr>
                <w:sz w:val="20"/>
              </w:rPr>
              <w:t>SEAT &amp; TEP Clinical Lead</w:t>
            </w:r>
          </w:p>
        </w:tc>
      </w:tr>
      <w:tr w:rsidR="00A35F48" w14:paraId="4F6A90CE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74173FD8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5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3AF93828" w14:textId="34F8DF99" w:rsidR="00A35F48" w:rsidRPr="00A35F48" w:rsidRDefault="00A35F48" w:rsidP="008B2A01">
            <w:r w:rsidRPr="00A35F48">
              <w:rPr>
                <w:sz w:val="20"/>
              </w:rPr>
              <w:t xml:space="preserve">Document will be reviewed </w:t>
            </w:r>
            <w:r w:rsidRPr="008B2A01">
              <w:rPr>
                <w:sz w:val="20"/>
              </w:rPr>
              <w:t xml:space="preserve">within </w:t>
            </w:r>
            <w:r w:rsidR="008B2A01" w:rsidRPr="008B2A01">
              <w:rPr>
                <w:sz w:val="20"/>
              </w:rPr>
              <w:t xml:space="preserve">5 years </w:t>
            </w:r>
            <w:r w:rsidRPr="008B2A01">
              <w:rPr>
                <w:sz w:val="20"/>
              </w:rPr>
              <w:t xml:space="preserve">or when changes in practice </w:t>
            </w:r>
            <w:r w:rsidRPr="00A35F48">
              <w:rPr>
                <w:sz w:val="20"/>
              </w:rPr>
              <w:t>occur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5EC2596" w14:textId="682805C8" w:rsidR="00A35F48" w:rsidRPr="00A35F48" w:rsidRDefault="000D548D" w:rsidP="00A35F48">
            <w:pPr>
              <w:rPr>
                <w:color w:val="FF0000"/>
              </w:rPr>
            </w:pPr>
            <w:r w:rsidRPr="000D548D">
              <w:rPr>
                <w:sz w:val="20"/>
              </w:rPr>
              <w:t>TEP Advisory Committee</w:t>
            </w:r>
          </w:p>
        </w:tc>
      </w:tr>
      <w:tr w:rsidR="00A35F48" w14:paraId="40E2BB27" w14:textId="77777777" w:rsidTr="00F20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46421A35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Evaluation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5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6684E01E" w14:textId="22DF15FD" w:rsidR="00A35F48" w:rsidRPr="00A35F48" w:rsidRDefault="00A35F48" w:rsidP="00A35F48">
            <w:r w:rsidRPr="00A35F48">
              <w:rPr>
                <w:sz w:val="20"/>
              </w:rPr>
              <w:t>Document will be evaluated informally at time of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52D6E5FD" w14:textId="42D8F1FD" w:rsidR="00A35F48" w:rsidRDefault="000D548D" w:rsidP="00A35F48">
            <w:pPr>
              <w:rPr>
                <w:color w:val="FF0000"/>
                <w:sz w:val="20"/>
              </w:rPr>
            </w:pPr>
            <w:r w:rsidRPr="000D548D">
              <w:rPr>
                <w:sz w:val="20"/>
              </w:rPr>
              <w:t>TEP Advisory Committee</w:t>
            </w:r>
          </w:p>
          <w:p w14:paraId="1296DE81" w14:textId="0707D72F" w:rsidR="00A35F48" w:rsidRPr="00A35F48" w:rsidRDefault="00A35F48" w:rsidP="00A35F48">
            <w:pPr>
              <w:rPr>
                <w:color w:val="FF0000"/>
              </w:rPr>
            </w:pPr>
          </w:p>
        </w:tc>
      </w:tr>
      <w:tr w:rsidR="00B968DA" w14:paraId="595980D2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55329B29" w14:textId="77777777" w:rsidR="00B968DA" w:rsidRPr="001154BA" w:rsidRDefault="00B968DA" w:rsidP="004A5156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5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1177657D" w14:textId="77777777" w:rsidR="00B968DA" w:rsidRPr="001154BA" w:rsidRDefault="00B968DA" w:rsidP="004A5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2C7D2DF9" w14:textId="77777777" w:rsidR="00B968DA" w:rsidRPr="00986B7D" w:rsidRDefault="00B968DA" w:rsidP="004A5156">
            <w:pPr>
              <w:rPr>
                <w:color w:val="000000"/>
                <w:sz w:val="20"/>
              </w:rPr>
            </w:pPr>
          </w:p>
        </w:tc>
      </w:tr>
    </w:tbl>
    <w:p w14:paraId="59AFF08C" w14:textId="77777777" w:rsidR="00B968DA" w:rsidRPr="00F20F59" w:rsidRDefault="00B968DA" w:rsidP="00C62A34">
      <w:pPr>
        <w:rPr>
          <w:sz w:val="6"/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4957"/>
        <w:gridCol w:w="5351"/>
      </w:tblGrid>
      <w:tr w:rsidR="00B968DA" w14:paraId="5E4DD564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DAC1927" w14:textId="77777777" w:rsidR="00B968DA" w:rsidRDefault="00B968DA" w:rsidP="004A5156">
            <w:pPr>
              <w:jc w:val="center"/>
            </w:pPr>
            <w:r>
              <w:rPr>
                <w:w w:val="105"/>
              </w:rPr>
              <w:t>Key Associated Documents</w:t>
            </w:r>
          </w:p>
        </w:tc>
      </w:tr>
      <w:tr w:rsidR="00B968DA" w14:paraId="72C9FC0C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B005091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Key Legislation, By-Laws, Standards, Delegations, Aligned &amp; Supporting Documents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90DD5A6" w14:textId="635BDC19" w:rsidR="00B968DA" w:rsidRPr="001154BA" w:rsidRDefault="00B968DA" w:rsidP="002639B0">
            <w:pPr>
              <w:pStyle w:val="AssDocs"/>
            </w:pPr>
          </w:p>
        </w:tc>
      </w:tr>
      <w:tr w:rsidR="00B968DA" w14:paraId="46E9A2AA" w14:textId="77777777" w:rsidTr="00F20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49D741C9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References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20870C" w14:textId="66E45B32" w:rsidR="00B968DA" w:rsidRPr="00A35F48" w:rsidRDefault="00B968DA" w:rsidP="00A35F48">
            <w:pPr>
              <w:pStyle w:val="AssDocs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14:paraId="525F0FF3" w14:textId="77777777" w:rsidR="008B2A01" w:rsidRPr="00F20F59" w:rsidRDefault="008B2A01" w:rsidP="00C62A34">
      <w:pPr>
        <w:rPr>
          <w:sz w:val="2"/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4957"/>
        <w:gridCol w:w="5351"/>
      </w:tblGrid>
      <w:tr w:rsidR="00B968DA" w:rsidRPr="001154BA" w14:paraId="66642842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801C15F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Definitions, Acronyms and Alternative Search Terms</w:t>
            </w:r>
          </w:p>
        </w:tc>
      </w:tr>
      <w:tr w:rsidR="00B968DA" w:rsidRPr="001154BA" w14:paraId="41502E59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B696882" w14:textId="77777777" w:rsidR="00B968DA" w:rsidRPr="001154BA" w:rsidRDefault="00B968DA" w:rsidP="004A5156">
            <w:r w:rsidRPr="001154BA">
              <w:rPr>
                <w:bCs/>
                <w:color w:val="000000"/>
                <w:lang w:eastAsia="en-AU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B18B9" w14:textId="77777777" w:rsidR="00B968DA" w:rsidRPr="001154BA" w:rsidRDefault="00B968DA" w:rsidP="004A5156">
            <w:r w:rsidRPr="001154BA">
              <w:t>Description</w:t>
            </w:r>
          </w:p>
        </w:tc>
      </w:tr>
      <w:tr w:rsidR="00B968DA" w:rsidRPr="001154BA" w14:paraId="5318152D" w14:textId="77777777" w:rsidTr="00F20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0EEE90" w14:textId="77777777" w:rsidR="00B968DA" w:rsidRPr="001154BA" w:rsidRDefault="00B968DA" w:rsidP="004A515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3E2E92C" w14:textId="77777777" w:rsidR="00B968DA" w:rsidRPr="001154BA" w:rsidRDefault="00B968DA" w:rsidP="004A5156"/>
        </w:tc>
      </w:tr>
    </w:tbl>
    <w:p w14:paraId="5DF1312B" w14:textId="77777777" w:rsidR="00B968DA" w:rsidRPr="00F20F59" w:rsidRDefault="00B968DA" w:rsidP="00C62A34">
      <w:pPr>
        <w:rPr>
          <w:sz w:val="2"/>
          <w:lang w:eastAsia="en-AU"/>
        </w:rPr>
      </w:pPr>
    </w:p>
    <w:tbl>
      <w:tblPr>
        <w:tblStyle w:val="NTGtable1"/>
        <w:tblpPr w:leftFromText="180" w:rightFromText="180" w:vertAnchor="text" w:tblpY="1"/>
        <w:tblOverlap w:val="never"/>
        <w:tblW w:w="10308" w:type="dxa"/>
        <w:tblInd w:w="0" w:type="dxa"/>
        <w:tblLook w:val="0120" w:firstRow="1" w:lastRow="0" w:firstColumn="0" w:lastColumn="1" w:noHBand="0" w:noVBand="0"/>
      </w:tblPr>
      <w:tblGrid>
        <w:gridCol w:w="1838"/>
        <w:gridCol w:w="1609"/>
        <w:gridCol w:w="1510"/>
        <w:gridCol w:w="5351"/>
      </w:tblGrid>
      <w:tr w:rsidR="00B968DA" w14:paraId="32D4A143" w14:textId="77777777" w:rsidTr="00F2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8F825F3" w14:textId="77777777" w:rsidR="00B968DA" w:rsidRDefault="00B968DA" w:rsidP="00F20F59">
            <w:pPr>
              <w:jc w:val="center"/>
            </w:pPr>
            <w:r>
              <w:t>Evidence</w:t>
            </w:r>
          </w:p>
        </w:tc>
      </w:tr>
      <w:tr w:rsidR="00B968DA" w:rsidRPr="001154BA" w14:paraId="67D26792" w14:textId="77777777" w:rsidTr="00F2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23B53D8" w14:textId="77777777" w:rsidR="00B968DA" w:rsidRPr="001154BA" w:rsidRDefault="00B968DA" w:rsidP="00F20F59">
            <w:pPr>
              <w:rPr>
                <w:b/>
              </w:rPr>
            </w:pPr>
            <w:r w:rsidRPr="001154BA">
              <w:rPr>
                <w:b/>
              </w:rPr>
              <w:t>Reference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90C4A67" w14:textId="77777777" w:rsidR="00B968DA" w:rsidRPr="001154BA" w:rsidRDefault="00B968DA" w:rsidP="00F20F59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78F2F74" w14:textId="77777777" w:rsidR="00B968DA" w:rsidRPr="001154BA" w:rsidRDefault="00B968DA" w:rsidP="00F20F59">
            <w:pPr>
              <w:rPr>
                <w:b/>
              </w:rPr>
            </w:pPr>
            <w:r w:rsidRPr="001154BA">
              <w:rPr>
                <w:b/>
              </w:rPr>
              <w:t>Evidence Level (I-V)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1C4D68" w14:textId="77777777" w:rsidR="00B968DA" w:rsidRPr="001154BA" w:rsidRDefault="00B968DA" w:rsidP="00F20F59">
            <w:pPr>
              <w:rPr>
                <w:b/>
              </w:rPr>
            </w:pPr>
            <w:r w:rsidRPr="001154BA">
              <w:rPr>
                <w:b/>
              </w:rPr>
              <w:t>Summary of Recommendation from this Reference</w:t>
            </w:r>
          </w:p>
        </w:tc>
      </w:tr>
      <w:tr w:rsidR="00B968DA" w14:paraId="6AD446C7" w14:textId="77777777" w:rsidTr="00F20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8205E86" w14:textId="6F7EAE91" w:rsidR="00B968DA" w:rsidRDefault="002639B0" w:rsidP="00F20F59">
            <w:pPr>
              <w:jc w:val="center"/>
            </w:pPr>
            <w:r>
              <w:t>N/A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D72741" w14:textId="3C2C9B7F" w:rsidR="00B968DA" w:rsidRDefault="002639B0" w:rsidP="00F20F59">
            <w:pPr>
              <w:jc w:val="center"/>
            </w:pPr>
            <w: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3509A3BC" w14:textId="37279610" w:rsidR="00B968DA" w:rsidRDefault="002639B0" w:rsidP="00F20F59">
            <w:pPr>
              <w:jc w:val="center"/>
            </w:pPr>
            <w: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4DDB22D6" w14:textId="2A4D49B8" w:rsidR="00B968DA" w:rsidRDefault="002639B0" w:rsidP="00F20F59">
            <w:pPr>
              <w:jc w:val="center"/>
            </w:pPr>
            <w:r>
              <w:t>N/A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16"/>
        <w:gridCol w:w="1145"/>
        <w:gridCol w:w="1133"/>
        <w:gridCol w:w="1149"/>
        <w:gridCol w:w="1506"/>
        <w:gridCol w:w="1510"/>
        <w:gridCol w:w="1306"/>
        <w:gridCol w:w="1333"/>
      </w:tblGrid>
      <w:tr w:rsidR="0043796D" w14:paraId="7351D8E7" w14:textId="77777777" w:rsidTr="00F20F59">
        <w:trPr>
          <w:cantSplit/>
          <w:trHeight w:val="44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1F5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F3E7" w14:textId="77777777" w:rsidR="0043796D" w:rsidRDefault="0043796D" w:rsidP="00F20F59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National Safety and Quality Health Service Standards</w:t>
            </w:r>
          </w:p>
        </w:tc>
      </w:tr>
      <w:tr w:rsidR="0043796D" w14:paraId="443F0CA8" w14:textId="77777777" w:rsidTr="00F20F59">
        <w:trPr>
          <w:cantSplit/>
          <w:trHeight w:val="1472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04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3AF8E51" wp14:editId="60F3949D">
                  <wp:extent cx="438150" cy="447675"/>
                  <wp:effectExtent l="0" t="0" r="0" b="9525"/>
                  <wp:docPr id="10" name="Picture 10" descr="cid:image001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E91D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Clinical Governance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C07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B99270B" wp14:editId="3D7BD34C">
                  <wp:extent cx="438150" cy="447675"/>
                  <wp:effectExtent l="0" t="0" r="0" b="9525"/>
                  <wp:docPr id="8" name="Picture 8" descr="cid:image002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D1EC1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Partnering with Consumers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8D28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65DFA7" wp14:editId="2941E9BA">
                  <wp:extent cx="447675" cy="447675"/>
                  <wp:effectExtent l="0" t="0" r="9525" b="9525"/>
                  <wp:docPr id="7" name="Picture 7" descr="cid:image003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11677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Preventing and Controlling Healthcare Associated Infection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264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0B0592A" wp14:editId="68597CDE">
                  <wp:extent cx="447675" cy="447675"/>
                  <wp:effectExtent l="0" t="0" r="9525" b="9525"/>
                  <wp:docPr id="6" name="Picture 6" descr="cid:image004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37407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Medication Safety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183F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183DF8" wp14:editId="590E2D75">
                  <wp:extent cx="457200" cy="457200"/>
                  <wp:effectExtent l="0" t="0" r="0" b="0"/>
                  <wp:docPr id="5" name="Picture 5" descr="Comprehensive c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rehensive ca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EB59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Comprehensive Care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397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F2BD98" wp14:editId="6E602CC2">
                  <wp:extent cx="438150" cy="447675"/>
                  <wp:effectExtent l="0" t="0" r="0" b="9525"/>
                  <wp:docPr id="4" name="Picture 4" descr="cid:image006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8F507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Communicating for Safety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9F8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A205AF" wp14:editId="34C10A7A">
                  <wp:extent cx="438150" cy="447675"/>
                  <wp:effectExtent l="0" t="0" r="0" b="9525"/>
                  <wp:docPr id="3" name="Picture 3" descr="cid:image007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E36C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Blood Management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863" w14:textId="77777777" w:rsidR="0043796D" w:rsidRDefault="0043796D" w:rsidP="00F20F59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BBC68E" wp14:editId="7ABD266D">
                  <wp:extent cx="438150" cy="447675"/>
                  <wp:effectExtent l="0" t="0" r="0" b="9525"/>
                  <wp:docPr id="2" name="Picture 2" descr="cid:image008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C3C38" w14:textId="77777777" w:rsidR="0043796D" w:rsidRDefault="0043796D" w:rsidP="00F20F59">
            <w:pPr>
              <w:spacing w:before="20"/>
              <w:jc w:val="center"/>
            </w:pPr>
            <w:r>
              <w:rPr>
                <w:sz w:val="18"/>
                <w:szCs w:val="18"/>
              </w:rPr>
              <w:t>Recognising &amp; Responding to Acute Deterioration</w:t>
            </w:r>
          </w:p>
        </w:tc>
      </w:tr>
      <w:tr w:rsidR="0043796D" w14:paraId="188C9151" w14:textId="77777777" w:rsidTr="00F20F59">
        <w:trPr>
          <w:cantSplit/>
          <w:trHeight w:val="583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A7B" w14:textId="6230828A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060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52B" w14:textId="62E5A2C2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4020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7D35" w14:textId="63E16D43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3591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4B3F" w14:textId="415FAADC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753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866F" w14:textId="75D06440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298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FBEF" w14:textId="25966B19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38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EBA" w14:textId="3FDFA4CC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71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4F" w14:textId="4EDAB2B3" w:rsidR="0043796D" w:rsidRDefault="004B6439" w:rsidP="00F20F59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39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B09BF54" w14:textId="77777777" w:rsidR="0043796D" w:rsidRPr="00C62A34" w:rsidRDefault="0043796D" w:rsidP="00C62A34">
      <w:pPr>
        <w:rPr>
          <w:lang w:eastAsia="en-AU"/>
        </w:rPr>
      </w:pPr>
    </w:p>
    <w:sectPr w:rsidR="0043796D" w:rsidRPr="00C62A34" w:rsidSect="00A567EE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E1C99" w14:textId="77777777" w:rsidR="004B6439" w:rsidRDefault="004B6439" w:rsidP="007332FF">
      <w:r>
        <w:separator/>
      </w:r>
    </w:p>
  </w:endnote>
  <w:endnote w:type="continuationSeparator" w:id="0">
    <w:p w14:paraId="097EF3D3" w14:textId="77777777" w:rsidR="004B6439" w:rsidRDefault="004B643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7DCEFA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707EF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674BF56" w14:textId="101025A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6783B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6783B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E3AA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31A61D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DF10E8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3C6B819" w14:textId="0985FD33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6783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6783B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99137E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27AB7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9447" w14:textId="77777777" w:rsidR="004B6439" w:rsidRDefault="004B6439" w:rsidP="007332FF">
      <w:r>
        <w:separator/>
      </w:r>
    </w:p>
  </w:footnote>
  <w:footnote w:type="continuationSeparator" w:id="0">
    <w:p w14:paraId="562EC2EA" w14:textId="77777777" w:rsidR="004B6439" w:rsidRDefault="004B643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9117" w14:textId="526EBE5E" w:rsidR="00392CA5" w:rsidRPr="008472CA" w:rsidRDefault="008472CA" w:rsidP="008472CA">
    <w:pPr>
      <w:pStyle w:val="Header"/>
    </w:pPr>
    <w:r w:rsidRPr="008472CA">
      <w:t xml:space="preserve">Personal Emergency Response System (PERS) </w:t>
    </w:r>
    <w:r w:rsidR="00DC6EAF" w:rsidRPr="008472CA">
      <w:t xml:space="preserve">TEP </w:t>
    </w:r>
    <w:r w:rsidR="00926096">
      <w:t>Clinical Guideline CG-8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E107" w14:textId="47C6DB59" w:rsidR="00E54F9E" w:rsidRDefault="00E93270" w:rsidP="008472CA">
    <w:pPr>
      <w:pStyle w:val="Title"/>
      <w:tabs>
        <w:tab w:val="left" w:pos="5529"/>
      </w:tabs>
      <w:rPr>
        <w:rStyle w:val="TitleChar"/>
      </w:rPr>
    </w:pPr>
    <w:r>
      <w:rPr>
        <w:noProof/>
      </w:rPr>
      <w:t xml:space="preserve">Personal Emergency Response System (PERS) </w:t>
    </w:r>
    <w:r w:rsidR="00DC6EAF">
      <w:rPr>
        <w:noProof/>
      </w:rPr>
      <w:t xml:space="preserve">TEP </w:t>
    </w:r>
    <w:r w:rsidR="00926096">
      <w:rPr>
        <w:noProof/>
      </w:rPr>
      <w:t>Clinical Guideline CG-8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FA5"/>
    <w:multiLevelType w:val="hybridMultilevel"/>
    <w:tmpl w:val="65CA8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E71FEC"/>
    <w:multiLevelType w:val="hybridMultilevel"/>
    <w:tmpl w:val="C9A433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01861C1"/>
    <w:multiLevelType w:val="hybridMultilevel"/>
    <w:tmpl w:val="CF7EBA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3BEF00D3"/>
    <w:multiLevelType w:val="multilevel"/>
    <w:tmpl w:val="AA8A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8D26DD"/>
    <w:multiLevelType w:val="hybridMultilevel"/>
    <w:tmpl w:val="F51CC6A4"/>
    <w:lvl w:ilvl="0" w:tplc="8E527A6E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</w:rPr>
    </w:lvl>
    <w:lvl w:ilvl="1" w:tplc="0C09000D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2E02183"/>
    <w:multiLevelType w:val="hybridMultilevel"/>
    <w:tmpl w:val="B706D9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392282E"/>
    <w:multiLevelType w:val="hybridMultilevel"/>
    <w:tmpl w:val="448065FA"/>
    <w:lvl w:ilvl="0" w:tplc="BBD0C508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  <w:sz w:val="22"/>
      </w:rPr>
    </w:lvl>
    <w:lvl w:ilvl="1" w:tplc="0C09000D">
      <w:start w:val="1"/>
      <w:numFmt w:val="bullet"/>
      <w:lvlText w:val="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27"/>
  </w:num>
  <w:num w:numId="5">
    <w:abstractNumId w:val="18"/>
  </w:num>
  <w:num w:numId="6">
    <w:abstractNumId w:val="9"/>
  </w:num>
  <w:num w:numId="7">
    <w:abstractNumId w:val="30"/>
  </w:num>
  <w:num w:numId="8">
    <w:abstractNumId w:val="17"/>
  </w:num>
  <w:num w:numId="9">
    <w:abstractNumId w:val="29"/>
  </w:num>
  <w:num w:numId="10">
    <w:abstractNumId w:val="0"/>
  </w:num>
  <w:num w:numId="11">
    <w:abstractNumId w:val="5"/>
  </w:num>
  <w:num w:numId="12">
    <w:abstractNumId w:val="24"/>
  </w:num>
  <w:num w:numId="13">
    <w:abstractNumId w:val="13"/>
  </w:num>
  <w:num w:numId="14">
    <w:abstractNumId w:val="36"/>
  </w:num>
  <w:num w:numId="1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A"/>
    <w:rsid w:val="00001DDF"/>
    <w:rsid w:val="0000322D"/>
    <w:rsid w:val="00007670"/>
    <w:rsid w:val="00010665"/>
    <w:rsid w:val="0002393A"/>
    <w:rsid w:val="00027DB8"/>
    <w:rsid w:val="00031A96"/>
    <w:rsid w:val="000341B5"/>
    <w:rsid w:val="000371E7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856"/>
    <w:rsid w:val="000B2CA1"/>
    <w:rsid w:val="000D1F29"/>
    <w:rsid w:val="000D548D"/>
    <w:rsid w:val="000D633D"/>
    <w:rsid w:val="000E342B"/>
    <w:rsid w:val="000E3ED2"/>
    <w:rsid w:val="000E5DD2"/>
    <w:rsid w:val="000F2958"/>
    <w:rsid w:val="000F3850"/>
    <w:rsid w:val="000F604F"/>
    <w:rsid w:val="00100DF7"/>
    <w:rsid w:val="00104E7F"/>
    <w:rsid w:val="001137EC"/>
    <w:rsid w:val="001152F5"/>
    <w:rsid w:val="00117743"/>
    <w:rsid w:val="00117F5B"/>
    <w:rsid w:val="00132658"/>
    <w:rsid w:val="00134894"/>
    <w:rsid w:val="00150CDE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0938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39B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361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469D"/>
    <w:rsid w:val="00342283"/>
    <w:rsid w:val="00343A87"/>
    <w:rsid w:val="00344A36"/>
    <w:rsid w:val="003456F4"/>
    <w:rsid w:val="00347FB6"/>
    <w:rsid w:val="003504FD"/>
    <w:rsid w:val="00350881"/>
    <w:rsid w:val="00357D55"/>
    <w:rsid w:val="00361D58"/>
    <w:rsid w:val="00363513"/>
    <w:rsid w:val="003657E5"/>
    <w:rsid w:val="0036589C"/>
    <w:rsid w:val="00371312"/>
    <w:rsid w:val="00371DC7"/>
    <w:rsid w:val="00377216"/>
    <w:rsid w:val="00377B21"/>
    <w:rsid w:val="00382A7F"/>
    <w:rsid w:val="00384979"/>
    <w:rsid w:val="00390862"/>
    <w:rsid w:val="00390CE3"/>
    <w:rsid w:val="00391686"/>
    <w:rsid w:val="00392CA5"/>
    <w:rsid w:val="00394876"/>
    <w:rsid w:val="00394AAF"/>
    <w:rsid w:val="00394CE5"/>
    <w:rsid w:val="003A55C2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490F"/>
    <w:rsid w:val="003E7855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796D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439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6783B"/>
    <w:rsid w:val="0057058E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36A"/>
    <w:rsid w:val="005B5AC2"/>
    <w:rsid w:val="005C2833"/>
    <w:rsid w:val="005C3D6E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01D6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418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0849"/>
    <w:rsid w:val="00840F17"/>
    <w:rsid w:val="00842838"/>
    <w:rsid w:val="008472CA"/>
    <w:rsid w:val="00847EC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1F5"/>
    <w:rsid w:val="00897C94"/>
    <w:rsid w:val="008A4B30"/>
    <w:rsid w:val="008A7C12"/>
    <w:rsid w:val="008B03CE"/>
    <w:rsid w:val="008B2A01"/>
    <w:rsid w:val="008B529E"/>
    <w:rsid w:val="008C17FB"/>
    <w:rsid w:val="008C70BB"/>
    <w:rsid w:val="008D0780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6096"/>
    <w:rsid w:val="00932F6B"/>
    <w:rsid w:val="009444F0"/>
    <w:rsid w:val="009468BC"/>
    <w:rsid w:val="00947FAE"/>
    <w:rsid w:val="009616DF"/>
    <w:rsid w:val="0096542F"/>
    <w:rsid w:val="00966CF7"/>
    <w:rsid w:val="00967FA7"/>
    <w:rsid w:val="00971645"/>
    <w:rsid w:val="00971D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F48"/>
    <w:rsid w:val="00A3739D"/>
    <w:rsid w:val="00A37DDA"/>
    <w:rsid w:val="00A45005"/>
    <w:rsid w:val="00A567EE"/>
    <w:rsid w:val="00A70DD8"/>
    <w:rsid w:val="00A76790"/>
    <w:rsid w:val="00A854FF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968DA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72C3"/>
    <w:rsid w:val="00C43519"/>
    <w:rsid w:val="00C45263"/>
    <w:rsid w:val="00C50CF5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7957"/>
    <w:rsid w:val="00CE640F"/>
    <w:rsid w:val="00CE76BC"/>
    <w:rsid w:val="00CF540E"/>
    <w:rsid w:val="00D02F07"/>
    <w:rsid w:val="00D06BF2"/>
    <w:rsid w:val="00D15D88"/>
    <w:rsid w:val="00D27D49"/>
    <w:rsid w:val="00D27EBE"/>
    <w:rsid w:val="00D36A49"/>
    <w:rsid w:val="00D40DE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6EAF"/>
    <w:rsid w:val="00DD4B5A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9D4"/>
    <w:rsid w:val="00E75451"/>
    <w:rsid w:val="00E75EA9"/>
    <w:rsid w:val="00E76AD6"/>
    <w:rsid w:val="00E770C4"/>
    <w:rsid w:val="00E84C5A"/>
    <w:rsid w:val="00E861DB"/>
    <w:rsid w:val="00E908F1"/>
    <w:rsid w:val="00E93270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0F59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7476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873"/>
  <w15:docId w15:val="{BD39DEBD-736A-4E4C-AF77-5FE316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B968DA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AssDocs">
    <w:name w:val="AssDocs"/>
    <w:basedOn w:val="Normal"/>
    <w:rsid w:val="00B968DA"/>
    <w:pPr>
      <w:tabs>
        <w:tab w:val="left" w:pos="318"/>
      </w:tabs>
      <w:autoSpaceDE w:val="0"/>
      <w:autoSpaceDN w:val="0"/>
      <w:adjustRightInd w:val="0"/>
      <w:spacing w:before="120" w:after="120"/>
    </w:pPr>
    <w:rPr>
      <w:rFonts w:eastAsia="Times New Roman" w:cs="Arial"/>
      <w:iCs/>
      <w:color w:val="000000"/>
      <w:sz w:val="18"/>
      <w:szCs w:val="18"/>
      <w:lang w:eastAsia="en-AU"/>
    </w:rPr>
  </w:style>
  <w:style w:type="paragraph" w:customStyle="1" w:styleId="PolicyHeading1DHF">
    <w:name w:val="Policy Heading 1 DHF"/>
    <w:basedOn w:val="Normal"/>
    <w:rsid w:val="00E93270"/>
    <w:pPr>
      <w:keepNext/>
      <w:spacing w:before="120" w:after="120"/>
      <w:jc w:val="both"/>
    </w:pPr>
    <w:rPr>
      <w:rFonts w:ascii="Arial" w:eastAsia="Times New Roman" w:hAnsi="Arial"/>
      <w:b/>
      <w:color w:val="808080"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nco.com.au/residential/learn/device-compatibility/medical-alarms" TargetMode="External"/><Relationship Id="rId13" Type="http://schemas.openxmlformats.org/officeDocument/2006/relationships/image" Target="cid:image002.jpg@01D658ED.D030F090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6.jpg@01D658ED.D030F090" TargetMode="External"/><Relationship Id="rId7" Type="http://schemas.openxmlformats.org/officeDocument/2006/relationships/hyperlink" Target="http://www.fallssa.com.au/documents/hp/Berg_Balance_Scale.pdf" TargetMode="External"/><Relationship Id="rId12" Type="http://schemas.openxmlformats.org/officeDocument/2006/relationships/image" Target="media/image2.jpeg"/><Relationship Id="rId17" Type="http://schemas.openxmlformats.org/officeDocument/2006/relationships/image" Target="cid:image004.jpg@01D658ED.D030F090" TargetMode="External"/><Relationship Id="rId25" Type="http://schemas.openxmlformats.org/officeDocument/2006/relationships/image" Target="cid:image008.jpg@01D658ED.D030F09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658ED.D030F090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cid:image003.jpg@01D658ED.D030F090" TargetMode="External"/><Relationship Id="rId23" Type="http://schemas.openxmlformats.org/officeDocument/2006/relationships/image" Target="cid:image007.jpg@01D658ED.D030F090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cid:image005.jpg@01D658ED.D030F0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mentia-assessment.com.au/cognitive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cd\AppData\Local\Microsoft\Windows\INetCache\IE\07ZNKZ07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20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Response System (PERS) TEP Clinical Guideline CG-6</vt:lpstr>
    </vt:vector>
  </TitlesOfParts>
  <Company>Northern Territory Government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Response System (PERS) TEP Clinical Guideline CG-8</dc:title>
  <dc:creator>Northern Territory Government</dc:creator>
  <dc:description/>
  <cp:lastModifiedBy>Wendy Skewes</cp:lastModifiedBy>
  <cp:revision>1</cp:revision>
  <cp:lastPrinted>2019-07-29T01:45:00Z</cp:lastPrinted>
  <dcterms:created xsi:type="dcterms:W3CDTF">2022-03-03T01:30:00Z</dcterms:created>
  <dcterms:modified xsi:type="dcterms:W3CDTF">2022-08-24T03:26:00Z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0x010100370F03DA7C830644B9E8B53AEDFF05BE020300FAA436A4C100524A8CDBC861DF8A54B8</vt:lpwstr>
  </property>
  <property fmtid="{D5CDD505-2E9C-101B-9397-08002B2CF9AE}" pid="3" name="_dlc_DocIdItemGuid">
    <vt:lpwstr>de86b852-c31c-4d4c-8939-68e4557fea40</vt:lpwstr>
  </property>
  <property fmtid="{D5CDD505-2E9C-101B-9397-08002B2CF9AE}" pid="4" name="Administrative Topic.">
    <vt:lpwstr/>
  </property>
  <property fmtid="{D5CDD505-2E9C-101B-9397-08002B2CF9AE}" pid="5" name="External Target Audience.">
    <vt:lpwstr/>
  </property>
  <property fmtid="{D5CDD505-2E9C-101B-9397-08002B2CF9AE}" pid="6" name="Collection Name.">
    <vt:lpwstr>19978;#Clinical Guidelines DEP|ca522289-9c67-48ae-b441-8152b9220b8e;#19988;#Personal Emergency Response Systems DEP|3938a4e8-a222-4b8f-9d57-260e885544c1</vt:lpwstr>
  </property>
  <property fmtid="{D5CDD505-2E9C-101B-9397-08002B2CF9AE}" pid="7" name="Jurisdiction Exclusion.">
    <vt:lpwstr>12827;#N/A|a6d83873-ca56-432a-9c58-398a3757bbda</vt:lpwstr>
  </property>
  <property fmtid="{D5CDD505-2E9C-101B-9397-08002B2CF9AE}" pid="8" name="Accreditation Framework.">
    <vt:lpwstr/>
  </property>
  <property fmtid="{D5CDD505-2E9C-101B-9397-08002B2CF9AE}" pid="9" name="Organisational/Business Unit Owner">
    <vt:lpwstr>24269;#Primary and Public Health Care Urban CAHS|a2029188-f5da-4be3-92d8-1e4c86654d22</vt:lpwstr>
  </property>
  <property fmtid="{D5CDD505-2E9C-101B-9397-08002B2CF9AE}" pid="10" name="Approval Authority Title.">
    <vt:lpwstr>24305;#Director|33d662bf-b5e3-49ab-842a-46d6a13da65f</vt:lpwstr>
  </property>
  <property fmtid="{D5CDD505-2E9C-101B-9397-08002B2CF9AE}" pid="11" name="Clinical Topics">
    <vt:lpwstr>19286;#Personal Emergency Response Systems|5eddc3c0-c6b5-42be-8d19-bc215f905459</vt:lpwstr>
  </property>
  <property fmtid="{D5CDD505-2E9C-101B-9397-08002B2CF9AE}" pid="12" name="Document Owner - Job Title - New">
    <vt:lpwstr>24133;#Senior Manager Community Allied Health and Aged Care CAHS|78962fd5-aba8-471e-99a6-8a236ce73654</vt:lpwstr>
  </property>
  <property fmtid="{D5CDD505-2E9C-101B-9397-08002B2CF9AE}" pid="13" name="Document Type.">
    <vt:lpwstr>24392;#Guideline.|c15d72e6-b967-4f1b-88e4-4037af21235e</vt:lpwstr>
  </property>
  <property fmtid="{D5CDD505-2E9C-101B-9397-08002B2CF9AE}" pid="14" name="Internal Target Audience.">
    <vt:lpwstr>13118;#All Clinical Employees|a9c9a07b-b666-48ba-894e-921b992897a4</vt:lpwstr>
  </property>
  <property fmtid="{D5CDD505-2E9C-101B-9397-08002B2CF9AE}" pid="15" name="Jurisdiction.">
    <vt:lpwstr>12824;#NT Health|0a212daa-5a7a-42c4-b867-01adc4b400f4</vt:lpwstr>
  </property>
  <property fmtid="{D5CDD505-2E9C-101B-9397-08002B2CF9AE}" pid="16" name="Jurisdiction">
    <vt:lpwstr>2479;#NT Health|d566c66c-d5b6-4152-8710-6834add20a33</vt:lpwstr>
  </property>
  <property fmtid="{D5CDD505-2E9C-101B-9397-08002B2CF9AE}" pid="17" name="DocumentOwnerTitle-SG">
    <vt:lpwstr>Senior Policy Officer Disability Services DoH</vt:lpwstr>
  </property>
  <property fmtid="{D5CDD505-2E9C-101B-9397-08002B2CF9AE}" pid="18" name="Jurisdiction-SG">
    <vt:lpwstr>NT Health</vt:lpwstr>
  </property>
  <property fmtid="{D5CDD505-2E9C-101B-9397-08002B2CF9AE}" pid="19" name="Approval Authority Title">
    <vt:lpwstr>2589;#Director Disability Services|3c429d88-21ed-4adb-8da4-9d3ba050143b</vt:lpwstr>
  </property>
  <property fmtid="{D5CDD505-2E9C-101B-9397-08002B2CF9AE}" pid="20" name="Accreditation Framework">
    <vt:lpwstr/>
  </property>
  <property fmtid="{D5CDD505-2E9C-101B-9397-08002B2CF9AE}" pid="21" name="InternalTargetAud-SG">
    <vt:lpwstr>All Clinical Employees</vt:lpwstr>
  </property>
  <property fmtid="{D5CDD505-2E9C-101B-9397-08002B2CF9AE}" pid="22" name="External Target Audience">
    <vt:lpwstr/>
  </property>
  <property fmtid="{D5CDD505-2E9C-101B-9397-08002B2CF9AE}" pid="23" name="Jurisdiction Exclusion-SG">
    <vt:lpwstr>N/A</vt:lpwstr>
  </property>
  <property fmtid="{D5CDD505-2E9C-101B-9397-08002B2CF9AE}" pid="24" name="Jurisdiction Exclusion">
    <vt:lpwstr>942;#N/A|99ff0359-15e2-4211-8211-ee91e64e473f</vt:lpwstr>
  </property>
  <property fmtid="{D5CDD505-2E9C-101B-9397-08002B2CF9AE}" pid="25" name="Document Owner - Job Title">
    <vt:lpwstr>Senior Policy Officer Office of Disability</vt:lpwstr>
  </property>
  <property fmtid="{D5CDD505-2E9C-101B-9397-08002B2CF9AE}" pid="26" name="Document Type">
    <vt:lpwstr>190;#Fact Sheet|987d4266-b74c-470c-85e6-3dfc17fab337;#37;#Guideline|0d8fa0e1-cb4b-4956-bb0c-f077b82b30f6</vt:lpwstr>
  </property>
  <property fmtid="{D5CDD505-2E9C-101B-9397-08002B2CF9AE}" pid="27" name="Administrative Topic">
    <vt:lpwstr>1157;#Service Delivery|f7825765-ad58-4b52-8f76-8dbf3e707743</vt:lpwstr>
  </property>
  <property fmtid="{D5CDD505-2E9C-101B-9397-08002B2CF9AE}" pid="28" name="Collection Name">
    <vt:lpwstr>2818;#Clinical Guidelines DEP|2e26d624-59f1-46e5-9f3f-cf1a29f19315;#2936;#Personal Emergency Response Systems DEP|57e9f15e-b102-464f-8e15-ea3a1593a4c7</vt:lpwstr>
  </property>
  <property fmtid="{D5CDD505-2E9C-101B-9397-08002B2CF9AE}" pid="29" name="Internal Target Audience">
    <vt:lpwstr>1501;#All Clinical Employees|3da0af3a-ce2a-449b-9c50-36b437e9677c</vt:lpwstr>
  </property>
  <property fmtid="{D5CDD505-2E9C-101B-9397-08002B2CF9AE}" pid="30" name="URL">
    <vt:lpwstr/>
  </property>
  <property fmtid="{D5CDD505-2E9C-101B-9397-08002B2CF9AE}" pid="31" name="Organisational/Business Unit">
    <vt:lpwstr>2697;#Office of Disability|b3597fc7-f175-40a2-a90b-d559ffb13cf9</vt:lpwstr>
  </property>
  <property fmtid="{D5CDD505-2E9C-101B-9397-08002B2CF9AE}" pid="32" name="ApprovalAuthorityTitle-SG">
    <vt:lpwstr>Senior Director Office of Disability</vt:lpwstr>
  </property>
  <property fmtid="{D5CDD505-2E9C-101B-9397-08002B2CF9AE}" pid="33" name="WorkflowCreationPath">
    <vt:lpwstr>e25f6f3e-a34b-4831-a948-7cb1d1fd5c26,90;</vt:lpwstr>
  </property>
</Properties>
</file>