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9BAE" w14:textId="77777777" w:rsidR="00F11755" w:rsidRPr="00F11755" w:rsidRDefault="00F11755" w:rsidP="00F11755">
      <w:pPr>
        <w:pStyle w:val="Heading2"/>
        <w:spacing w:before="200" w:after="160"/>
        <w:rPr>
          <w:color w:val="002060"/>
          <w:sz w:val="36"/>
          <w:szCs w:val="36"/>
        </w:rPr>
      </w:pPr>
      <w:bookmarkStart w:id="0" w:name="_GoBack"/>
      <w:bookmarkEnd w:id="0"/>
      <w:r w:rsidRPr="00F11755">
        <w:rPr>
          <w:color w:val="002060"/>
          <w:sz w:val="36"/>
          <w:szCs w:val="36"/>
        </w:rPr>
        <w:t xml:space="preserve">What is the Territory Equipment Program? </w:t>
      </w:r>
    </w:p>
    <w:p w14:paraId="107A23ED" w14:textId="77777777" w:rsidR="00F11755" w:rsidRPr="00C03B6D" w:rsidRDefault="00F11755" w:rsidP="00F11755">
      <w:pPr>
        <w:spacing w:before="90" w:after="90"/>
      </w:pPr>
      <w:r w:rsidRPr="00C03B6D">
        <w:t xml:space="preserve">The </w:t>
      </w:r>
      <w:r>
        <w:t>Territory</w:t>
      </w:r>
      <w:r w:rsidRPr="00C03B6D">
        <w:t xml:space="preserve"> Equipment Program (</w:t>
      </w:r>
      <w:r>
        <w:t>TEP</w:t>
      </w:r>
      <w:r w:rsidRPr="00C03B6D">
        <w:t xml:space="preserve">) provides prescribed equipment, aids and appliances to assist eligible residents of the Northern Territory with a permanent or long term </w:t>
      </w:r>
      <w:r>
        <w:t xml:space="preserve">functional impairment </w:t>
      </w:r>
      <w:r w:rsidRPr="00C03B6D">
        <w:t>to enhance their safety and independence, and to assist them to live and participate in their community.</w:t>
      </w:r>
    </w:p>
    <w:p w14:paraId="38C0FA0A" w14:textId="77777777" w:rsidR="00F11755" w:rsidRPr="00C03B6D" w:rsidRDefault="00F11755" w:rsidP="00F11755">
      <w:pPr>
        <w:spacing w:before="90" w:after="90"/>
      </w:pPr>
      <w:r>
        <w:t>TEP</w:t>
      </w:r>
      <w:r w:rsidRPr="00C03B6D">
        <w:t xml:space="preserve"> uses a registration process to approve therapists before they </w:t>
      </w:r>
      <w:r w:rsidR="008474AC">
        <w:t>can</w:t>
      </w:r>
      <w:r w:rsidRPr="00C03B6D">
        <w:t xml:space="preserve"> prescribe equipment.  Approved Prescribers may be physiotherapists, occupational therapists, speech pathologists or specialist nurses, </w:t>
      </w:r>
      <w:proofErr w:type="gramStart"/>
      <w:r w:rsidRPr="00C03B6D">
        <w:t>depending</w:t>
      </w:r>
      <w:proofErr w:type="gramEnd"/>
      <w:r w:rsidRPr="00C03B6D">
        <w:t xml:space="preserve"> on the type of equipment required and are not only Department of Health staff.  Access to </w:t>
      </w:r>
      <w:r>
        <w:t>TEP</w:t>
      </w:r>
      <w:r w:rsidRPr="00C03B6D">
        <w:t xml:space="preserve"> is based on assessed functional or clinical need by an Approved Prescriber.  </w:t>
      </w:r>
    </w:p>
    <w:p w14:paraId="5E451B49" w14:textId="77777777" w:rsidR="00F11755" w:rsidRPr="00C03B6D" w:rsidRDefault="00F11755" w:rsidP="00F11755">
      <w:pPr>
        <w:spacing w:before="90" w:after="90"/>
      </w:pPr>
      <w:r>
        <w:t>TEP</w:t>
      </w:r>
      <w:r w:rsidRPr="00C03B6D">
        <w:t xml:space="preserve"> work</w:t>
      </w:r>
      <w:r w:rsidR="008474AC">
        <w:t>s</w:t>
      </w:r>
      <w:r w:rsidRPr="00C03B6D">
        <w:t xml:space="preserve"> within a budget to meet the needs of a large number of clients.  </w:t>
      </w:r>
      <w:r w:rsidR="008474AC">
        <w:t xml:space="preserve">TEP does not provide items costing under $100. </w:t>
      </w:r>
    </w:p>
    <w:p w14:paraId="1C34AE91" w14:textId="77777777" w:rsidR="00F11755" w:rsidRPr="00F11755" w:rsidRDefault="00F11755" w:rsidP="00F11755">
      <w:pPr>
        <w:pStyle w:val="Heading2"/>
        <w:spacing w:before="200" w:after="160"/>
        <w:rPr>
          <w:color w:val="002060"/>
          <w:sz w:val="36"/>
          <w:szCs w:val="36"/>
        </w:rPr>
      </w:pPr>
      <w:r w:rsidRPr="00F11755">
        <w:rPr>
          <w:color w:val="002060"/>
          <w:sz w:val="36"/>
          <w:szCs w:val="36"/>
        </w:rPr>
        <w:t>Who is eligible for TEP?</w:t>
      </w:r>
    </w:p>
    <w:p w14:paraId="2C19AB7F" w14:textId="77777777" w:rsidR="00F11755" w:rsidRPr="00C03B6D" w:rsidRDefault="00F11755" w:rsidP="00F11755">
      <w:pPr>
        <w:spacing w:before="90" w:after="90"/>
      </w:pPr>
      <w:r>
        <w:t>Clients</w:t>
      </w:r>
      <w:r w:rsidRPr="00C03B6D">
        <w:t xml:space="preserve"> must meet the following eligibility criteria:</w:t>
      </w:r>
    </w:p>
    <w:p w14:paraId="6FD4F12A" w14:textId="77777777" w:rsidR="00F11755" w:rsidRPr="00C03B6D" w:rsidRDefault="00F11755" w:rsidP="00F11755">
      <w:pPr>
        <w:pStyle w:val="Bulletpointlist"/>
        <w:spacing w:before="40" w:after="40"/>
      </w:pPr>
      <w:r w:rsidRPr="00C03B6D">
        <w:t xml:space="preserve">have a </w:t>
      </w:r>
      <w:r>
        <w:t>functional impairment of</w:t>
      </w:r>
      <w:r w:rsidRPr="00C03B6D">
        <w:t xml:space="preserve"> </w:t>
      </w:r>
      <w:r w:rsidR="008474AC">
        <w:t>permanent or long term duration</w:t>
      </w:r>
    </w:p>
    <w:p w14:paraId="5734C3C7" w14:textId="77777777" w:rsidR="00F11755" w:rsidRPr="00C03B6D" w:rsidRDefault="00F11755" w:rsidP="00F11755">
      <w:pPr>
        <w:pStyle w:val="Bulletpointlist"/>
        <w:spacing w:before="40" w:after="40"/>
      </w:pPr>
      <w:r>
        <w:t>are</w:t>
      </w:r>
      <w:r w:rsidRPr="00C03B6D">
        <w:t xml:space="preserve"> permanent resident</w:t>
      </w:r>
      <w:r>
        <w:t>s</w:t>
      </w:r>
      <w:r w:rsidR="008474AC">
        <w:t xml:space="preserve"> of the Northern Territory</w:t>
      </w:r>
    </w:p>
    <w:p w14:paraId="1E479C4F" w14:textId="77777777" w:rsidR="00F11755" w:rsidRPr="00C03B6D" w:rsidRDefault="00F11755" w:rsidP="00F11755">
      <w:pPr>
        <w:pStyle w:val="Bulletpointlist"/>
        <w:spacing w:before="40" w:after="40"/>
      </w:pPr>
      <w:r w:rsidRPr="00C03B6D">
        <w:t>are living in or returning to the comm</w:t>
      </w:r>
      <w:r w:rsidR="008474AC">
        <w:t>unity</w:t>
      </w:r>
    </w:p>
    <w:p w14:paraId="3C445592" w14:textId="77777777" w:rsidR="00F11755" w:rsidRDefault="00F11755" w:rsidP="00F11755">
      <w:pPr>
        <w:pStyle w:val="Bulletpointlist"/>
        <w:spacing w:before="40" w:after="40"/>
      </w:pPr>
      <w:r w:rsidRPr="00C03B6D">
        <w:t>require items of approved equipment on a permanent or long term basis; and</w:t>
      </w:r>
    </w:p>
    <w:p w14:paraId="249397D5" w14:textId="77777777" w:rsidR="00F11755" w:rsidRPr="00C03B6D" w:rsidRDefault="00F11755" w:rsidP="00F11755">
      <w:pPr>
        <w:pStyle w:val="Bulletpointlist"/>
        <w:spacing w:before="40" w:after="40"/>
      </w:pPr>
      <w:proofErr w:type="gramStart"/>
      <w:r w:rsidRPr="00C03B6D">
        <w:t>are</w:t>
      </w:r>
      <w:proofErr w:type="gramEnd"/>
      <w:r w:rsidRPr="00C03B6D">
        <w:t xml:space="preserve"> beneficiaries of a full Centrelink Disability Support or Aged Pension</w:t>
      </w:r>
      <w:r>
        <w:t xml:space="preserve">. </w:t>
      </w:r>
      <w:r w:rsidRPr="00C03B6D">
        <w:t>Some exclusions apply for children, Special Consideration applicants and existing clients prior to 8 April 2013</w:t>
      </w:r>
      <w:r w:rsidR="008474AC">
        <w:t>.</w:t>
      </w:r>
    </w:p>
    <w:p w14:paraId="4D349F65" w14:textId="77777777" w:rsidR="00F11755" w:rsidRPr="00C03B6D" w:rsidRDefault="00F11755" w:rsidP="00F11755">
      <w:pPr>
        <w:spacing w:before="90" w:after="90"/>
      </w:pPr>
      <w:r w:rsidRPr="00C03B6D">
        <w:t xml:space="preserve">Consumers who are not beneficiaries of a full Centrelink Disability Support or Aged Pension may still be eligible for Special Consideration on the basis of Financial Hardship or for Assistance for High Cost Items.  Existing </w:t>
      </w:r>
      <w:r>
        <w:t>TEP</w:t>
      </w:r>
      <w:r w:rsidRPr="00C03B6D">
        <w:t xml:space="preserve"> clients as at 8 April 2013 are not required to verify financial eligibility with the exception of clients deemed eligible on the basis of Financial Hardship.</w:t>
      </w:r>
    </w:p>
    <w:p w14:paraId="76D3B76F" w14:textId="77777777" w:rsidR="00F11755" w:rsidRPr="00C03B6D" w:rsidRDefault="00F11755" w:rsidP="00F11755">
      <w:pPr>
        <w:spacing w:before="90" w:after="90"/>
      </w:pPr>
      <w:r w:rsidRPr="00C03B6D">
        <w:t xml:space="preserve">Residents of a </w:t>
      </w:r>
      <w:r w:rsidR="00DA2BF7">
        <w:t>Residential</w:t>
      </w:r>
      <w:r w:rsidRPr="00C03B6D">
        <w:t xml:space="preserve"> Aged Care Facility</w:t>
      </w:r>
      <w:r>
        <w:t>, persons on a Home Care Package 1</w:t>
      </w:r>
      <w:proofErr w:type="gramStart"/>
      <w:r>
        <w:t>,2,3</w:t>
      </w:r>
      <w:proofErr w:type="gramEnd"/>
      <w:r>
        <w:t xml:space="preserve"> or 4, persons with an approved National Disability Insurance Scheme (NDIS) plan</w:t>
      </w:r>
      <w:r w:rsidRPr="00C03B6D">
        <w:t xml:space="preserve"> or those eligible to receive equipment under another program or compensation claim are not eligible for </w:t>
      </w:r>
      <w:r>
        <w:t>TEP</w:t>
      </w:r>
      <w:r w:rsidRPr="00C03B6D">
        <w:t xml:space="preserve"> assistance.  Several local businesses and pharmacies supply hire equipment to consumers who are ineligible for </w:t>
      </w:r>
      <w:r>
        <w:t>TEP</w:t>
      </w:r>
      <w:r w:rsidRPr="00C03B6D">
        <w:t xml:space="preserve"> including non-residents of the Territory or people with short term disabilities.</w:t>
      </w:r>
    </w:p>
    <w:p w14:paraId="3331240C" w14:textId="77777777" w:rsidR="00F11755" w:rsidRPr="00F11755" w:rsidRDefault="00F11755" w:rsidP="00F11755">
      <w:pPr>
        <w:pStyle w:val="Heading2"/>
        <w:spacing w:before="200" w:after="160"/>
        <w:rPr>
          <w:color w:val="002060"/>
          <w:sz w:val="36"/>
          <w:szCs w:val="36"/>
        </w:rPr>
      </w:pPr>
      <w:r w:rsidRPr="00F11755">
        <w:rPr>
          <w:color w:val="002060"/>
          <w:sz w:val="36"/>
          <w:szCs w:val="36"/>
        </w:rPr>
        <w:t>What type of equipment may be loaned?</w:t>
      </w:r>
    </w:p>
    <w:p w14:paraId="7F40AA9C" w14:textId="77777777" w:rsidR="00F11755" w:rsidRPr="00C03B6D" w:rsidRDefault="00F11755" w:rsidP="00F11755">
      <w:pPr>
        <w:spacing w:before="90" w:after="90"/>
      </w:pPr>
      <w:r>
        <w:t>TEP</w:t>
      </w:r>
      <w:r w:rsidRPr="00C03B6D">
        <w:t xml:space="preserve"> </w:t>
      </w:r>
      <w:r>
        <w:t>has</w:t>
      </w:r>
      <w:r w:rsidRPr="00C03B6D">
        <w:t xml:space="preserve"> an approved equipment list </w:t>
      </w:r>
      <w:r w:rsidR="008474AC">
        <w:t>across the following categories</w:t>
      </w:r>
      <w:r w:rsidRPr="00C03B6D">
        <w:t>:</w:t>
      </w:r>
    </w:p>
    <w:p w14:paraId="6EDE2319" w14:textId="77777777" w:rsidR="00F11755" w:rsidRPr="00C03B6D" w:rsidRDefault="00F11755" w:rsidP="00F11755">
      <w:pPr>
        <w:pStyle w:val="ListParagraph"/>
        <w:numPr>
          <w:ilvl w:val="0"/>
          <w:numId w:val="49"/>
        </w:numPr>
        <w:spacing w:before="120"/>
        <w:contextualSpacing/>
      </w:pPr>
      <w:r w:rsidRPr="00C03B6D">
        <w:t>Communication Aids and Devices</w:t>
      </w:r>
    </w:p>
    <w:p w14:paraId="5AF55CCF" w14:textId="77777777" w:rsidR="00F11755" w:rsidRPr="00C03B6D" w:rsidRDefault="00F11755" w:rsidP="00F11755">
      <w:pPr>
        <w:pStyle w:val="ListParagraph"/>
        <w:numPr>
          <w:ilvl w:val="0"/>
          <w:numId w:val="49"/>
        </w:numPr>
        <w:spacing w:before="120"/>
        <w:contextualSpacing/>
      </w:pPr>
      <w:r w:rsidRPr="00C03B6D">
        <w:t>Aids for Daily Living</w:t>
      </w:r>
    </w:p>
    <w:p w14:paraId="11F64C3D" w14:textId="77777777" w:rsidR="00F11755" w:rsidRPr="00C03B6D" w:rsidRDefault="00F11755" w:rsidP="00F11755">
      <w:pPr>
        <w:pStyle w:val="ListParagraph"/>
        <w:numPr>
          <w:ilvl w:val="0"/>
          <w:numId w:val="49"/>
        </w:numPr>
        <w:spacing w:before="120"/>
        <w:contextualSpacing/>
      </w:pPr>
      <w:r w:rsidRPr="00C03B6D">
        <w:t>Bed Equipment</w:t>
      </w:r>
    </w:p>
    <w:p w14:paraId="30D78E3D" w14:textId="77777777" w:rsidR="00F11755" w:rsidRPr="00C03B6D" w:rsidRDefault="00F11755" w:rsidP="00F11755">
      <w:pPr>
        <w:pStyle w:val="ListParagraph"/>
        <w:numPr>
          <w:ilvl w:val="0"/>
          <w:numId w:val="49"/>
        </w:numPr>
        <w:spacing w:before="120"/>
        <w:contextualSpacing/>
      </w:pPr>
      <w:r w:rsidRPr="00C03B6D">
        <w:t>Pressure Management Equipment</w:t>
      </w:r>
    </w:p>
    <w:p w14:paraId="587877FA" w14:textId="77777777" w:rsidR="00F11755" w:rsidRPr="00C03B6D" w:rsidRDefault="00F11755" w:rsidP="00F11755">
      <w:pPr>
        <w:pStyle w:val="ListParagraph"/>
        <w:numPr>
          <w:ilvl w:val="0"/>
          <w:numId w:val="49"/>
        </w:numPr>
        <w:spacing w:before="120"/>
        <w:contextualSpacing/>
      </w:pPr>
      <w:r w:rsidRPr="00C03B6D">
        <w:t>Wheeled Mobility Aids</w:t>
      </w:r>
    </w:p>
    <w:p w14:paraId="209F860B" w14:textId="77777777" w:rsidR="00F11755" w:rsidRPr="00C03B6D" w:rsidRDefault="00F11755" w:rsidP="00F11755">
      <w:pPr>
        <w:pStyle w:val="ListParagraph"/>
        <w:numPr>
          <w:ilvl w:val="0"/>
          <w:numId w:val="49"/>
        </w:numPr>
        <w:spacing w:before="120"/>
        <w:contextualSpacing/>
      </w:pPr>
      <w:r w:rsidRPr="00C03B6D">
        <w:lastRenderedPageBreak/>
        <w:t>Ambulant Mobility Aids</w:t>
      </w:r>
    </w:p>
    <w:p w14:paraId="22E60DC5" w14:textId="77777777" w:rsidR="00F11755" w:rsidRDefault="00F11755" w:rsidP="00F11755">
      <w:pPr>
        <w:pStyle w:val="ListParagraph"/>
        <w:numPr>
          <w:ilvl w:val="0"/>
          <w:numId w:val="49"/>
        </w:numPr>
        <w:spacing w:before="120"/>
        <w:contextualSpacing/>
      </w:pPr>
      <w:r w:rsidRPr="00C03B6D">
        <w:t>Personal Emergency Response System (PERS)</w:t>
      </w:r>
    </w:p>
    <w:p w14:paraId="6EAAF3C3" w14:textId="77777777" w:rsidR="00F11755" w:rsidRDefault="00F11755" w:rsidP="00F11755">
      <w:pPr>
        <w:pStyle w:val="ListParagraph"/>
        <w:numPr>
          <w:ilvl w:val="0"/>
          <w:numId w:val="49"/>
        </w:numPr>
        <w:spacing w:before="120"/>
        <w:contextualSpacing/>
      </w:pPr>
      <w:r w:rsidRPr="00C03B6D">
        <w:t>Home Modifications</w:t>
      </w:r>
    </w:p>
    <w:p w14:paraId="2F567EB2" w14:textId="77777777" w:rsidR="00F11755" w:rsidRDefault="00F11755" w:rsidP="00F11755">
      <w:pPr>
        <w:pStyle w:val="ListParagraph"/>
        <w:numPr>
          <w:ilvl w:val="0"/>
          <w:numId w:val="49"/>
        </w:numPr>
        <w:spacing w:before="120"/>
        <w:contextualSpacing/>
      </w:pPr>
      <w:r>
        <w:t>Continence Aids</w:t>
      </w:r>
    </w:p>
    <w:p w14:paraId="24473A13" w14:textId="77777777" w:rsidR="00F11755" w:rsidRDefault="00F11755" w:rsidP="00F11755">
      <w:pPr>
        <w:pStyle w:val="ListParagraph"/>
        <w:numPr>
          <w:ilvl w:val="0"/>
          <w:numId w:val="49"/>
        </w:numPr>
        <w:spacing w:before="120"/>
        <w:contextualSpacing/>
      </w:pPr>
      <w:r>
        <w:t>Oxygen</w:t>
      </w:r>
    </w:p>
    <w:p w14:paraId="5B8BA259" w14:textId="77777777" w:rsidR="00F11755" w:rsidRDefault="00F11755" w:rsidP="00F11755">
      <w:pPr>
        <w:spacing w:before="120"/>
        <w:contextualSpacing/>
      </w:pPr>
    </w:p>
    <w:p w14:paraId="16E01A0F" w14:textId="77777777" w:rsidR="00F11755" w:rsidRPr="00C03B6D" w:rsidRDefault="00F11755" w:rsidP="00F11755">
      <w:pPr>
        <w:spacing w:before="90" w:after="90"/>
      </w:pPr>
      <w:r>
        <w:t>TEP</w:t>
      </w:r>
      <w:r w:rsidRPr="00C03B6D">
        <w:t xml:space="preserve"> maintain</w:t>
      </w:r>
      <w:r w:rsidR="008474AC">
        <w:t>s</w:t>
      </w:r>
      <w:r w:rsidRPr="00C03B6D">
        <w:t xml:space="preserve"> responsibility for repair and cyclical maintenance of nominated </w:t>
      </w:r>
      <w:r>
        <w:t>TEP</w:t>
      </w:r>
      <w:r w:rsidRPr="00C03B6D">
        <w:t xml:space="preserve"> equipment items while clients are responsible for regular cleaning and maintenance.</w:t>
      </w:r>
    </w:p>
    <w:p w14:paraId="2E54703E" w14:textId="77777777" w:rsidR="00F11755" w:rsidRPr="00AB3F7D" w:rsidRDefault="00F11755" w:rsidP="00F11755">
      <w:pPr>
        <w:pStyle w:val="Heading2"/>
        <w:spacing w:before="200" w:after="160"/>
        <w:rPr>
          <w:color w:val="002060"/>
          <w:sz w:val="36"/>
          <w:szCs w:val="36"/>
        </w:rPr>
      </w:pPr>
      <w:r w:rsidRPr="00AB3F7D">
        <w:rPr>
          <w:color w:val="002060"/>
          <w:sz w:val="36"/>
          <w:szCs w:val="36"/>
        </w:rPr>
        <w:t>Return of equipment</w:t>
      </w:r>
    </w:p>
    <w:p w14:paraId="7862B63D" w14:textId="77777777" w:rsidR="00F11755" w:rsidRPr="00C03B6D" w:rsidRDefault="00F11755" w:rsidP="00F11755">
      <w:pPr>
        <w:spacing w:before="90" w:after="90"/>
      </w:pPr>
      <w:r w:rsidRPr="00C03B6D">
        <w:t>Equipment remains the property of</w:t>
      </w:r>
      <w:r>
        <w:t xml:space="preserve"> TEP</w:t>
      </w:r>
      <w:r w:rsidRPr="00C03B6D">
        <w:t xml:space="preserve"> (unless otherwise agreed) and must be returned when no longer required.  </w:t>
      </w:r>
    </w:p>
    <w:p w14:paraId="7DF63971" w14:textId="77777777" w:rsidR="00F11755" w:rsidRPr="00C03B6D" w:rsidRDefault="008474AC" w:rsidP="00F11755">
      <w:pPr>
        <w:spacing w:before="90" w:after="90"/>
      </w:pPr>
      <w:r>
        <w:t>Clients may</w:t>
      </w:r>
      <w:r w:rsidR="00F11755" w:rsidRPr="00C03B6D">
        <w:t xml:space="preserve"> take some items with them when moving interstate, if prior approval is obtained.</w:t>
      </w:r>
    </w:p>
    <w:p w14:paraId="6A06AAD8" w14:textId="77777777" w:rsidR="00F11755" w:rsidRPr="00AB3F7D" w:rsidRDefault="00F11755" w:rsidP="00F11755">
      <w:pPr>
        <w:pStyle w:val="Heading2"/>
        <w:spacing w:before="200" w:after="160"/>
        <w:rPr>
          <w:color w:val="002060"/>
          <w:sz w:val="36"/>
          <w:szCs w:val="36"/>
        </w:rPr>
      </w:pPr>
      <w:r w:rsidRPr="00AB3F7D">
        <w:rPr>
          <w:color w:val="002060"/>
          <w:sz w:val="36"/>
          <w:szCs w:val="36"/>
        </w:rPr>
        <w:t>Is there a cost?</w:t>
      </w:r>
    </w:p>
    <w:p w14:paraId="1CD517FB" w14:textId="77777777" w:rsidR="00F11755" w:rsidRPr="00C03B6D" w:rsidRDefault="00F11755" w:rsidP="00F11755">
      <w:pPr>
        <w:spacing w:before="90" w:after="90"/>
      </w:pPr>
      <w:r w:rsidRPr="00C03B6D">
        <w:t xml:space="preserve">Clients may be required to contribute toward the cost of equipment.  </w:t>
      </w:r>
    </w:p>
    <w:p w14:paraId="3605C729" w14:textId="77777777" w:rsidR="00F11755" w:rsidRPr="00C03B6D" w:rsidRDefault="00F11755" w:rsidP="00F11755">
      <w:pPr>
        <w:spacing w:before="90" w:after="90"/>
      </w:pPr>
      <w:r w:rsidRPr="00C03B6D">
        <w:t xml:space="preserve">Client contributions are only required when the cost of equipment exceeds the nominated Maximum Subsidy available for the item/s.  Maximum Subsidies are applied to all </w:t>
      </w:r>
      <w:r>
        <w:t>TEP</w:t>
      </w:r>
      <w:r w:rsidRPr="00C03B6D">
        <w:t xml:space="preserve"> equipment items and are outlined on the </w:t>
      </w:r>
      <w:r>
        <w:t>TEP</w:t>
      </w:r>
      <w:r w:rsidRPr="00C03B6D">
        <w:t xml:space="preserve"> Approved Equipment List.  </w:t>
      </w:r>
    </w:p>
    <w:p w14:paraId="16B6349B" w14:textId="77777777" w:rsidR="00F11755" w:rsidRPr="00AB3F7D" w:rsidRDefault="00F11755" w:rsidP="00F11755">
      <w:pPr>
        <w:pStyle w:val="Heading2"/>
        <w:spacing w:before="200" w:after="160"/>
        <w:rPr>
          <w:color w:val="002060"/>
          <w:sz w:val="36"/>
          <w:szCs w:val="36"/>
        </w:rPr>
      </w:pPr>
      <w:r w:rsidRPr="00AB3F7D">
        <w:rPr>
          <w:color w:val="002060"/>
          <w:sz w:val="36"/>
          <w:szCs w:val="36"/>
        </w:rPr>
        <w:t>How do I apply?</w:t>
      </w:r>
    </w:p>
    <w:p w14:paraId="670CE770" w14:textId="77777777" w:rsidR="00F11755" w:rsidRPr="00C03B6D" w:rsidRDefault="00F11755" w:rsidP="00F11755">
      <w:pPr>
        <w:spacing w:before="90" w:after="90"/>
      </w:pPr>
      <w:r w:rsidRPr="00C03B6D">
        <w:t xml:space="preserve">Your therapist can assist you to apply.  </w:t>
      </w:r>
    </w:p>
    <w:p w14:paraId="75179850" w14:textId="77777777" w:rsidR="00F11755" w:rsidRDefault="00DA2BF7" w:rsidP="00F11755">
      <w:pPr>
        <w:spacing w:before="90" w:after="90"/>
      </w:pPr>
      <w:r>
        <w:t>Based on</w:t>
      </w:r>
      <w:r w:rsidR="00F11755" w:rsidRPr="00C03B6D">
        <w:t xml:space="preserve"> assessment, your therapist will identify the most basic item of equipment that will meet your assessed need and submit a prescription to </w:t>
      </w:r>
      <w:r w:rsidR="00F11755">
        <w:t>TEP</w:t>
      </w:r>
      <w:r w:rsidR="00F11755" w:rsidRPr="00C03B6D">
        <w:t xml:space="preserve">.  New and existing clients with a change in circumstances are also required to complete an application with the support of their therapist.  </w:t>
      </w:r>
    </w:p>
    <w:p w14:paraId="253B3318" w14:textId="77777777" w:rsidR="00F11755" w:rsidRPr="00AB3F7D" w:rsidRDefault="00F11755" w:rsidP="00F11755">
      <w:pPr>
        <w:pStyle w:val="Heading2"/>
        <w:spacing w:before="200" w:after="160"/>
        <w:rPr>
          <w:color w:val="002060"/>
          <w:sz w:val="36"/>
          <w:szCs w:val="36"/>
        </w:rPr>
      </w:pPr>
      <w:r w:rsidRPr="00AB3F7D">
        <w:rPr>
          <w:color w:val="002060"/>
          <w:sz w:val="36"/>
          <w:szCs w:val="36"/>
        </w:rPr>
        <w:t>How do I provide feedback or make a complaint?</w:t>
      </w:r>
    </w:p>
    <w:p w14:paraId="6B23E746" w14:textId="77777777" w:rsidR="00F11755" w:rsidRPr="00C03B6D" w:rsidRDefault="00F11755" w:rsidP="00F11755">
      <w:pPr>
        <w:spacing w:before="90" w:after="90"/>
      </w:pPr>
      <w:r w:rsidRPr="00C03B6D">
        <w:t xml:space="preserve">In the first instance, you are requested to discuss any concerns directly with your therapist. If you feel the problem has not been resolved, you may choose to provide further information in writing or contact your regional </w:t>
      </w:r>
      <w:r>
        <w:t>Community Allied Health Intake officer</w:t>
      </w:r>
      <w:r w:rsidRPr="00C03B6D">
        <w:t xml:space="preserve"> on the details below for further information. </w:t>
      </w:r>
    </w:p>
    <w:p w14:paraId="5B6C542D" w14:textId="77777777" w:rsidR="00F11755" w:rsidRPr="00C03B6D" w:rsidRDefault="00F11755" w:rsidP="00F11755">
      <w:pPr>
        <w:spacing w:before="90" w:after="90"/>
      </w:pPr>
      <w:r w:rsidRPr="00C03B6D">
        <w:t>Alternatively, clients can make a complaint with the Health and Community Services Complaints Commission on 8999 1969</w:t>
      </w:r>
      <w:r>
        <w:t xml:space="preserve"> or 1800 004 474</w:t>
      </w:r>
      <w:r w:rsidRPr="00C03B6D">
        <w:t xml:space="preserve"> </w:t>
      </w:r>
      <w:r>
        <w:t xml:space="preserve">or email: </w:t>
      </w:r>
      <w:hyperlink r:id="rId7" w:history="1">
        <w:r w:rsidRPr="009728E8">
          <w:rPr>
            <w:rStyle w:val="Hyperlink"/>
          </w:rPr>
          <w:t>hcscc@nt.gov.au</w:t>
        </w:r>
      </w:hyperlink>
      <w:r>
        <w:t xml:space="preserve"> </w:t>
      </w:r>
    </w:p>
    <w:p w14:paraId="65E623FA" w14:textId="77777777" w:rsidR="00F11755" w:rsidRPr="00AB3F7D" w:rsidRDefault="00F11755" w:rsidP="00F11755">
      <w:pPr>
        <w:pStyle w:val="Heading2"/>
        <w:spacing w:before="200" w:after="160"/>
        <w:rPr>
          <w:color w:val="002060"/>
          <w:sz w:val="36"/>
          <w:szCs w:val="36"/>
        </w:rPr>
      </w:pPr>
      <w:r w:rsidRPr="00AB3F7D">
        <w:rPr>
          <w:color w:val="002060"/>
          <w:sz w:val="36"/>
          <w:szCs w:val="36"/>
        </w:rPr>
        <w:t>Who should I contact?</w:t>
      </w:r>
    </w:p>
    <w:p w14:paraId="48FF21A9" w14:textId="77777777" w:rsidR="00F11755" w:rsidRDefault="00F11755" w:rsidP="00AB3F7D">
      <w:pPr>
        <w:spacing w:before="90" w:after="90"/>
      </w:pPr>
      <w:r w:rsidRPr="00C03B6D">
        <w:t>Please contact your therapist.  If you do not have a therapist, please contact one of our intake offices.</w:t>
      </w:r>
    </w:p>
    <w:p w14:paraId="7EBB2330" w14:textId="77777777" w:rsidR="00AB3F7D" w:rsidRPr="00AB3F7D" w:rsidRDefault="00AB3F7D" w:rsidP="00AB3F7D">
      <w:pPr>
        <w:spacing w:before="90" w:after="9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4181"/>
        <w:gridCol w:w="607"/>
        <w:gridCol w:w="5006"/>
      </w:tblGrid>
      <w:tr w:rsidR="00F11755" w:rsidRPr="00954579" w14:paraId="0EC234A8" w14:textId="77777777" w:rsidTr="00EE1EEA">
        <w:trPr>
          <w:trHeight w:val="693"/>
        </w:trPr>
        <w:tc>
          <w:tcPr>
            <w:tcW w:w="254" w:type="pct"/>
          </w:tcPr>
          <w:p w14:paraId="6C41DD9F" w14:textId="77777777" w:rsidR="00F11755" w:rsidRPr="00954579" w:rsidRDefault="00F11755" w:rsidP="00EE1EEA">
            <w:pPr>
              <w:spacing w:before="30" w:after="30"/>
              <w:rPr>
                <w:b/>
                <w:sz w:val="21"/>
                <w:szCs w:val="21"/>
              </w:rPr>
            </w:pPr>
          </w:p>
        </w:tc>
        <w:tc>
          <w:tcPr>
            <w:tcW w:w="2026" w:type="pct"/>
          </w:tcPr>
          <w:p w14:paraId="35E02043" w14:textId="77777777" w:rsidR="00F11755" w:rsidRPr="00742421" w:rsidRDefault="00F11755" w:rsidP="00EE1EEA">
            <w:pPr>
              <w:spacing w:before="30" w:after="30"/>
              <w:rPr>
                <w:b/>
              </w:rPr>
            </w:pPr>
            <w:r w:rsidRPr="00742421">
              <w:rPr>
                <w:b/>
              </w:rPr>
              <w:t>Central Australia</w:t>
            </w:r>
          </w:p>
          <w:p w14:paraId="72427BC9" w14:textId="77777777" w:rsidR="00F11755" w:rsidRPr="009D794A" w:rsidRDefault="00F11755" w:rsidP="00EE1EEA">
            <w:pPr>
              <w:spacing w:before="30" w:after="30"/>
              <w:rPr>
                <w:sz w:val="20"/>
                <w:szCs w:val="20"/>
              </w:rPr>
            </w:pPr>
            <w:r w:rsidRPr="009D794A">
              <w:rPr>
                <w:sz w:val="20"/>
                <w:szCs w:val="20"/>
              </w:rPr>
              <w:t>(includes Alice Springs, Remote Barkly)</w:t>
            </w:r>
          </w:p>
        </w:tc>
        <w:tc>
          <w:tcPr>
            <w:tcW w:w="294" w:type="pct"/>
          </w:tcPr>
          <w:p w14:paraId="7B93B8DD" w14:textId="77777777" w:rsidR="00F11755" w:rsidRPr="00954579" w:rsidRDefault="00F11755" w:rsidP="00EE1EEA">
            <w:pPr>
              <w:spacing w:before="30" w:after="30"/>
              <w:rPr>
                <w:b/>
                <w:sz w:val="21"/>
                <w:szCs w:val="21"/>
              </w:rPr>
            </w:pPr>
          </w:p>
        </w:tc>
        <w:tc>
          <w:tcPr>
            <w:tcW w:w="2426" w:type="pct"/>
          </w:tcPr>
          <w:p w14:paraId="6D27F762" w14:textId="77777777" w:rsidR="00F11755" w:rsidRPr="00742421" w:rsidRDefault="00F11755" w:rsidP="00EE1EEA">
            <w:pPr>
              <w:spacing w:before="30" w:after="30"/>
              <w:rPr>
                <w:b/>
              </w:rPr>
            </w:pPr>
            <w:r w:rsidRPr="00742421">
              <w:rPr>
                <w:b/>
              </w:rPr>
              <w:t>Top End</w:t>
            </w:r>
          </w:p>
          <w:p w14:paraId="314A699B" w14:textId="77777777" w:rsidR="00F11755" w:rsidRPr="009D794A" w:rsidRDefault="00F11755" w:rsidP="00EE1EEA">
            <w:pPr>
              <w:spacing w:before="30" w:after="30"/>
              <w:rPr>
                <w:sz w:val="20"/>
                <w:szCs w:val="20"/>
              </w:rPr>
            </w:pPr>
            <w:r w:rsidRPr="009D794A">
              <w:rPr>
                <w:sz w:val="20"/>
                <w:szCs w:val="20"/>
              </w:rPr>
              <w:t>(includes</w:t>
            </w:r>
            <w:r>
              <w:rPr>
                <w:sz w:val="20"/>
                <w:szCs w:val="20"/>
              </w:rPr>
              <w:t xml:space="preserve"> Darwin rural area,</w:t>
            </w:r>
            <w:r w:rsidRPr="009D794A">
              <w:rPr>
                <w:sz w:val="20"/>
                <w:szCs w:val="20"/>
              </w:rPr>
              <w:t xml:space="preserve"> Katherine</w:t>
            </w:r>
            <w:r>
              <w:rPr>
                <w:sz w:val="20"/>
                <w:szCs w:val="20"/>
              </w:rPr>
              <w:t xml:space="preserve"> &amp;</w:t>
            </w:r>
            <w:r w:rsidRPr="009D794A">
              <w:rPr>
                <w:sz w:val="20"/>
                <w:szCs w:val="20"/>
              </w:rPr>
              <w:t>East Arnhem)</w:t>
            </w:r>
          </w:p>
        </w:tc>
      </w:tr>
      <w:tr w:rsidR="00F11755" w:rsidRPr="009D794A" w14:paraId="2EFF16E0" w14:textId="77777777" w:rsidTr="00EE1EEA">
        <w:trPr>
          <w:trHeight w:val="251"/>
        </w:trPr>
        <w:tc>
          <w:tcPr>
            <w:tcW w:w="254" w:type="pct"/>
          </w:tcPr>
          <w:p w14:paraId="4B6AC03C" w14:textId="77777777" w:rsidR="00F11755" w:rsidRPr="00742421" w:rsidRDefault="00F11755" w:rsidP="00EE1EEA">
            <w:pPr>
              <w:spacing w:before="30" w:after="30"/>
              <w:rPr>
                <w:b/>
                <w:sz w:val="20"/>
                <w:szCs w:val="20"/>
              </w:rPr>
            </w:pPr>
            <w:r>
              <w:rPr>
                <w:b/>
                <w:sz w:val="20"/>
                <w:szCs w:val="20"/>
              </w:rPr>
              <w:t>P</w:t>
            </w:r>
          </w:p>
        </w:tc>
        <w:tc>
          <w:tcPr>
            <w:tcW w:w="2026" w:type="pct"/>
          </w:tcPr>
          <w:p w14:paraId="595DA845" w14:textId="77777777" w:rsidR="00F11755" w:rsidRPr="00742421" w:rsidRDefault="00F11755" w:rsidP="00EE1EEA">
            <w:pPr>
              <w:spacing w:before="30" w:after="30"/>
              <w:rPr>
                <w:sz w:val="20"/>
                <w:szCs w:val="20"/>
              </w:rPr>
            </w:pPr>
            <w:r w:rsidRPr="006E342F">
              <w:rPr>
                <w:sz w:val="20"/>
                <w:szCs w:val="20"/>
              </w:rPr>
              <w:t>08 8951 6747</w:t>
            </w:r>
            <w:r>
              <w:rPr>
                <w:sz w:val="20"/>
                <w:szCs w:val="20"/>
              </w:rPr>
              <w:t xml:space="preserve"> </w:t>
            </w:r>
          </w:p>
        </w:tc>
        <w:tc>
          <w:tcPr>
            <w:tcW w:w="294" w:type="pct"/>
          </w:tcPr>
          <w:p w14:paraId="790D3D2C" w14:textId="77777777" w:rsidR="00F11755" w:rsidRPr="00742421" w:rsidRDefault="00F11755" w:rsidP="00EE1EEA">
            <w:pPr>
              <w:spacing w:before="30" w:after="30"/>
              <w:rPr>
                <w:b/>
                <w:sz w:val="20"/>
                <w:szCs w:val="20"/>
              </w:rPr>
            </w:pPr>
            <w:r>
              <w:rPr>
                <w:b/>
                <w:sz w:val="20"/>
                <w:szCs w:val="20"/>
              </w:rPr>
              <w:t>P</w:t>
            </w:r>
          </w:p>
        </w:tc>
        <w:tc>
          <w:tcPr>
            <w:tcW w:w="2426" w:type="pct"/>
          </w:tcPr>
          <w:p w14:paraId="0BF0C696" w14:textId="77777777" w:rsidR="00F11755" w:rsidRPr="00742421" w:rsidRDefault="00F11755" w:rsidP="00EE1EEA">
            <w:pPr>
              <w:spacing w:before="30" w:after="30"/>
              <w:rPr>
                <w:sz w:val="20"/>
                <w:szCs w:val="20"/>
              </w:rPr>
            </w:pPr>
            <w:r w:rsidRPr="006E342F">
              <w:rPr>
                <w:sz w:val="20"/>
                <w:szCs w:val="20"/>
              </w:rPr>
              <w:t>08 8922 5571</w:t>
            </w:r>
          </w:p>
        </w:tc>
      </w:tr>
      <w:tr w:rsidR="00F11755" w:rsidRPr="009D794A" w14:paraId="777933F5" w14:textId="77777777" w:rsidTr="00EE1EEA">
        <w:trPr>
          <w:trHeight w:val="251"/>
        </w:trPr>
        <w:tc>
          <w:tcPr>
            <w:tcW w:w="254" w:type="pct"/>
          </w:tcPr>
          <w:p w14:paraId="0B1D5390" w14:textId="77777777" w:rsidR="00F11755" w:rsidRPr="00742421" w:rsidRDefault="00F11755" w:rsidP="00EE1EEA">
            <w:pPr>
              <w:spacing w:before="30" w:after="30"/>
              <w:rPr>
                <w:b/>
                <w:sz w:val="20"/>
                <w:szCs w:val="20"/>
              </w:rPr>
            </w:pPr>
            <w:r w:rsidRPr="00742421">
              <w:rPr>
                <w:b/>
                <w:sz w:val="20"/>
                <w:szCs w:val="20"/>
              </w:rPr>
              <w:t>E</w:t>
            </w:r>
          </w:p>
        </w:tc>
        <w:tc>
          <w:tcPr>
            <w:tcW w:w="2026" w:type="pct"/>
          </w:tcPr>
          <w:p w14:paraId="7F1B7A06" w14:textId="77777777" w:rsidR="00F11755" w:rsidRPr="00742421" w:rsidRDefault="00F11755" w:rsidP="00EE1EEA">
            <w:pPr>
              <w:spacing w:before="30" w:after="30"/>
              <w:rPr>
                <w:sz w:val="20"/>
                <w:szCs w:val="20"/>
              </w:rPr>
            </w:pPr>
            <w:r w:rsidRPr="00742421">
              <w:rPr>
                <w:sz w:val="20"/>
                <w:szCs w:val="20"/>
              </w:rPr>
              <w:t>centralaustraliaintake.THS@nt.gov.au</w:t>
            </w:r>
          </w:p>
        </w:tc>
        <w:tc>
          <w:tcPr>
            <w:tcW w:w="294" w:type="pct"/>
          </w:tcPr>
          <w:p w14:paraId="5C2539A8" w14:textId="77777777" w:rsidR="00F11755" w:rsidRPr="00742421" w:rsidRDefault="00F11755" w:rsidP="00EE1EEA">
            <w:pPr>
              <w:spacing w:before="30" w:after="30"/>
              <w:rPr>
                <w:b/>
                <w:sz w:val="20"/>
                <w:szCs w:val="20"/>
              </w:rPr>
            </w:pPr>
            <w:r w:rsidRPr="00742421">
              <w:rPr>
                <w:b/>
                <w:sz w:val="20"/>
                <w:szCs w:val="20"/>
              </w:rPr>
              <w:t>E</w:t>
            </w:r>
          </w:p>
        </w:tc>
        <w:tc>
          <w:tcPr>
            <w:tcW w:w="2426" w:type="pct"/>
          </w:tcPr>
          <w:p w14:paraId="1B21B714" w14:textId="77777777" w:rsidR="00F11755" w:rsidRPr="00742421" w:rsidRDefault="00F11755" w:rsidP="00EE1EEA">
            <w:pPr>
              <w:spacing w:before="30" w:after="30"/>
              <w:rPr>
                <w:sz w:val="20"/>
                <w:szCs w:val="20"/>
              </w:rPr>
            </w:pPr>
            <w:r w:rsidRPr="00742421">
              <w:rPr>
                <w:sz w:val="20"/>
                <w:szCs w:val="20"/>
              </w:rPr>
              <w:t>topendintake.THS@nt.gov.au</w:t>
            </w:r>
          </w:p>
        </w:tc>
      </w:tr>
      <w:tr w:rsidR="00F11755" w:rsidRPr="009D794A" w14:paraId="69305431" w14:textId="77777777" w:rsidTr="00EE1EEA">
        <w:trPr>
          <w:trHeight w:val="482"/>
        </w:trPr>
        <w:tc>
          <w:tcPr>
            <w:tcW w:w="254" w:type="pct"/>
          </w:tcPr>
          <w:p w14:paraId="7FCB38F5" w14:textId="77777777" w:rsidR="00F11755" w:rsidRPr="00742421" w:rsidRDefault="00F11755" w:rsidP="00EE1EEA">
            <w:pPr>
              <w:spacing w:before="30" w:after="30"/>
              <w:rPr>
                <w:b/>
                <w:sz w:val="20"/>
                <w:szCs w:val="20"/>
              </w:rPr>
            </w:pPr>
            <w:r w:rsidRPr="00742421">
              <w:rPr>
                <w:b/>
                <w:sz w:val="20"/>
                <w:szCs w:val="20"/>
              </w:rPr>
              <w:t>A</w:t>
            </w:r>
          </w:p>
        </w:tc>
        <w:tc>
          <w:tcPr>
            <w:tcW w:w="2026" w:type="pct"/>
          </w:tcPr>
          <w:p w14:paraId="3255120E" w14:textId="77777777" w:rsidR="00F11755" w:rsidRPr="00742421" w:rsidRDefault="00F11755" w:rsidP="00EE1EEA">
            <w:pPr>
              <w:spacing w:before="30" w:after="30"/>
              <w:rPr>
                <w:sz w:val="20"/>
                <w:szCs w:val="20"/>
              </w:rPr>
            </w:pPr>
            <w:r w:rsidRPr="00742421">
              <w:rPr>
                <w:sz w:val="20"/>
                <w:szCs w:val="20"/>
              </w:rPr>
              <w:t xml:space="preserve">PO Box 721, </w:t>
            </w:r>
          </w:p>
          <w:p w14:paraId="04A27117" w14:textId="77777777" w:rsidR="00F11755" w:rsidRPr="00742421" w:rsidRDefault="00F11755" w:rsidP="00EE1EEA">
            <w:pPr>
              <w:spacing w:before="30" w:after="30"/>
              <w:rPr>
                <w:sz w:val="20"/>
                <w:szCs w:val="20"/>
              </w:rPr>
            </w:pPr>
            <w:r w:rsidRPr="00742421">
              <w:rPr>
                <w:sz w:val="20"/>
                <w:szCs w:val="20"/>
              </w:rPr>
              <w:t>Alice Springs NT 0871</w:t>
            </w:r>
          </w:p>
        </w:tc>
        <w:tc>
          <w:tcPr>
            <w:tcW w:w="294" w:type="pct"/>
          </w:tcPr>
          <w:p w14:paraId="66D93633" w14:textId="77777777" w:rsidR="00F11755" w:rsidRPr="00742421" w:rsidRDefault="00F11755" w:rsidP="00EE1EEA">
            <w:pPr>
              <w:spacing w:before="30" w:after="30"/>
              <w:rPr>
                <w:b/>
                <w:sz w:val="20"/>
                <w:szCs w:val="20"/>
              </w:rPr>
            </w:pPr>
            <w:r w:rsidRPr="00742421">
              <w:rPr>
                <w:b/>
                <w:sz w:val="20"/>
                <w:szCs w:val="20"/>
              </w:rPr>
              <w:t>A</w:t>
            </w:r>
          </w:p>
        </w:tc>
        <w:tc>
          <w:tcPr>
            <w:tcW w:w="2426" w:type="pct"/>
          </w:tcPr>
          <w:p w14:paraId="3601413B" w14:textId="77777777" w:rsidR="00F11755" w:rsidRPr="00742421" w:rsidRDefault="00F11755" w:rsidP="00EE1EEA">
            <w:pPr>
              <w:spacing w:before="30" w:after="30"/>
              <w:rPr>
                <w:sz w:val="20"/>
                <w:szCs w:val="20"/>
              </w:rPr>
            </w:pPr>
            <w:r w:rsidRPr="00742421">
              <w:rPr>
                <w:sz w:val="20"/>
                <w:szCs w:val="20"/>
              </w:rPr>
              <w:t>PO Box 40596 Casuarina NT 0811</w:t>
            </w:r>
          </w:p>
        </w:tc>
      </w:tr>
    </w:tbl>
    <w:p w14:paraId="7E1ABAE2" w14:textId="46EF69E9" w:rsidR="0015451B" w:rsidRDefault="0015451B" w:rsidP="00996655">
      <w:pPr>
        <w:rPr>
          <w:lang w:bidi="en-US"/>
        </w:rPr>
      </w:pPr>
    </w:p>
    <w:tbl>
      <w:tblPr>
        <w:tblW w:w="5000" w:type="pct"/>
        <w:tblCellMar>
          <w:left w:w="0" w:type="dxa"/>
          <w:right w:w="0" w:type="dxa"/>
        </w:tblCellMar>
        <w:tblLook w:val="04A0" w:firstRow="1" w:lastRow="0" w:firstColumn="1" w:lastColumn="0" w:noHBand="0" w:noVBand="1"/>
      </w:tblPr>
      <w:tblGrid>
        <w:gridCol w:w="4576"/>
        <w:gridCol w:w="5722"/>
      </w:tblGrid>
      <w:tr w:rsidR="0015451B" w:rsidRPr="00F25C88" w14:paraId="64AE0FDB" w14:textId="77777777" w:rsidTr="002F1249">
        <w:tc>
          <w:tcPr>
            <w:tcW w:w="2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354CBD" w14:textId="1F7C9B9D" w:rsidR="0015451B" w:rsidRPr="00F25C88" w:rsidRDefault="0015451B" w:rsidP="002F1249">
            <w:pPr>
              <w:rPr>
                <w:rFonts w:ascii="Arial" w:hAnsi="Arial" w:cs="Arial"/>
                <w:b/>
                <w:bCs/>
                <w:sz w:val="18"/>
                <w:szCs w:val="18"/>
              </w:rPr>
            </w:pPr>
            <w:r w:rsidRPr="00F25C88">
              <w:rPr>
                <w:rFonts w:ascii="Arial" w:hAnsi="Arial" w:cs="Arial"/>
                <w:b/>
                <w:bCs/>
                <w:sz w:val="18"/>
                <w:szCs w:val="18"/>
              </w:rPr>
              <w:lastRenderedPageBreak/>
              <w:t>PGC/SharePoint ID:</w:t>
            </w:r>
            <w:r w:rsidRPr="00F25C88">
              <w:rPr>
                <w:color w:val="999999"/>
                <w:sz w:val="16"/>
                <w:szCs w:val="16"/>
              </w:rPr>
              <w:t xml:space="preserve"> </w:t>
            </w:r>
            <w:r w:rsidRPr="0015451B">
              <w:rPr>
                <w:rFonts w:ascii="Arial" w:hAnsi="Arial" w:cs="Arial"/>
                <w:sz w:val="18"/>
                <w:szCs w:val="18"/>
              </w:rPr>
              <w:t>HEALTHINTRA-1880-8256</w:t>
            </w:r>
          </w:p>
        </w:tc>
        <w:tc>
          <w:tcPr>
            <w:tcW w:w="2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DD696" w14:textId="77777777" w:rsidR="0015451B" w:rsidRPr="00F25C88" w:rsidRDefault="0015451B" w:rsidP="002F1249">
            <w:pPr>
              <w:autoSpaceDE w:val="0"/>
              <w:autoSpaceDN w:val="0"/>
              <w:spacing w:after="80"/>
              <w:rPr>
                <w:rFonts w:ascii="Arial" w:hAnsi="Arial" w:cs="Arial"/>
                <w:color w:val="000000"/>
                <w:sz w:val="18"/>
                <w:szCs w:val="18"/>
              </w:rPr>
            </w:pPr>
            <w:r w:rsidRPr="00F25C88">
              <w:rPr>
                <w:rFonts w:ascii="Arial" w:hAnsi="Arial" w:cs="Arial"/>
                <w:color w:val="000000"/>
                <w:sz w:val="18"/>
                <w:szCs w:val="18"/>
              </w:rPr>
              <w:t>PGC/Content Manager ID: EDOC</w:t>
            </w:r>
          </w:p>
        </w:tc>
      </w:tr>
      <w:tr w:rsidR="0015451B" w:rsidRPr="00F25C88" w14:paraId="771EA891" w14:textId="77777777" w:rsidTr="002F1249">
        <w:tc>
          <w:tcPr>
            <w:tcW w:w="2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A33CD3" w14:textId="46DF3323" w:rsidR="0015451B" w:rsidRPr="00F25C88" w:rsidRDefault="0015451B" w:rsidP="002F1249">
            <w:pPr>
              <w:rPr>
                <w:rFonts w:ascii="Arial" w:eastAsia="Lato" w:hAnsi="Arial" w:cs="Arial"/>
                <w:b/>
                <w:bCs/>
                <w:sz w:val="18"/>
                <w:szCs w:val="18"/>
              </w:rPr>
            </w:pPr>
            <w:r w:rsidRPr="00F25C88">
              <w:rPr>
                <w:rFonts w:ascii="Arial" w:hAnsi="Arial" w:cs="Arial"/>
                <w:b/>
                <w:bCs/>
                <w:sz w:val="18"/>
                <w:szCs w:val="18"/>
              </w:rPr>
              <w:t xml:space="preserve">Version Number: </w:t>
            </w:r>
            <w:r w:rsidRPr="00F25C88">
              <w:rPr>
                <w:rFonts w:ascii="Arial" w:hAnsi="Arial" w:cs="Arial"/>
                <w:color w:val="999999"/>
                <w:sz w:val="16"/>
                <w:szCs w:val="16"/>
              </w:rPr>
              <w:t xml:space="preserve">|   | </w:t>
            </w:r>
            <w:sdt>
              <w:sdtPr>
                <w:rPr>
                  <w:rFonts w:ascii="Arial" w:hAnsi="Arial" w:cs="Arial"/>
                  <w:color w:val="999999"/>
                  <w:sz w:val="16"/>
                  <w:szCs w:val="16"/>
                </w:rPr>
                <w:alias w:val="Label"/>
                <w:tag w:val="DLCPolicyLabelValue"/>
                <w:id w:val="-1450930570"/>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425493CF-5EBB-4F5D-8771-AA38CA82A41C}"/>
                <w:text w:multiLine="1"/>
              </w:sdtPr>
              <w:sdtEndPr/>
              <w:sdtContent>
                <w:r w:rsidR="005843E2">
                  <w:rPr>
                    <w:rFonts w:ascii="Arial" w:hAnsi="Arial" w:cs="Arial"/>
                    <w:color w:val="999999"/>
                    <w:sz w:val="16"/>
                    <w:szCs w:val="16"/>
                  </w:rPr>
                  <w:t>Version: 12.0</w:t>
                </w:r>
              </w:sdtContent>
            </w:sdt>
          </w:p>
        </w:tc>
        <w:tc>
          <w:tcPr>
            <w:tcW w:w="2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610C39" w14:textId="44B691DB" w:rsidR="0015451B" w:rsidRPr="00F25C88" w:rsidRDefault="0015451B" w:rsidP="002F1249">
            <w:pPr>
              <w:autoSpaceDE w:val="0"/>
              <w:autoSpaceDN w:val="0"/>
              <w:spacing w:after="80"/>
              <w:rPr>
                <w:rFonts w:ascii="Arial" w:hAnsi="Arial" w:cs="Arial"/>
                <w:color w:val="000000"/>
                <w:sz w:val="18"/>
                <w:szCs w:val="18"/>
              </w:rPr>
            </w:pPr>
            <w:r w:rsidRPr="00F25C88">
              <w:rPr>
                <w:rFonts w:ascii="Arial" w:hAnsi="Arial" w:cs="Arial"/>
                <w:color w:val="000000"/>
                <w:sz w:val="18"/>
                <w:szCs w:val="18"/>
              </w:rPr>
              <w:t xml:space="preserve">Approved Date: </w:t>
            </w:r>
            <w:r>
              <w:rPr>
                <w:rFonts w:ascii="Arial" w:hAnsi="Arial" w:cs="Arial"/>
                <w:color w:val="000000"/>
                <w:sz w:val="18"/>
                <w:szCs w:val="18"/>
              </w:rPr>
              <w:t>17/2/2021</w:t>
            </w:r>
          </w:p>
        </w:tc>
      </w:tr>
    </w:tbl>
    <w:p w14:paraId="69BEEAC1" w14:textId="1DA50AFA" w:rsidR="0015451B" w:rsidRDefault="0015451B">
      <w:pPr>
        <w:rPr>
          <w:lang w:bidi="en-US"/>
        </w:rPr>
      </w:pPr>
    </w:p>
    <w:p w14:paraId="5AAA00D9" w14:textId="77777777" w:rsidR="006A2F2D" w:rsidRPr="00996655" w:rsidRDefault="006A2F2D" w:rsidP="00996655">
      <w:pPr>
        <w:rPr>
          <w:lang w:bidi="en-US"/>
        </w:rPr>
      </w:pPr>
    </w:p>
    <w:sectPr w:rsidR="006A2F2D" w:rsidRPr="00996655" w:rsidSect="00CC571B">
      <w:headerReference w:type="default" r:id="rId8"/>
      <w:footerReference w:type="default" r:id="rId9"/>
      <w:headerReference w:type="first" r:id="rId10"/>
      <w:footerReference w:type="first" r:id="rId11"/>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A303" w14:textId="77777777" w:rsidR="00555934" w:rsidRDefault="00555934" w:rsidP="007332FF">
      <w:r>
        <w:separator/>
      </w:r>
    </w:p>
  </w:endnote>
  <w:endnote w:type="continuationSeparator" w:id="0">
    <w:p w14:paraId="79DA386F" w14:textId="77777777" w:rsidR="00555934" w:rsidRDefault="0055593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C1CA9"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57B64BD9" w14:textId="77777777" w:rsidTr="001D258A">
      <w:trPr>
        <w:cantSplit/>
        <w:trHeight w:hRule="exact" w:val="567"/>
      </w:trPr>
      <w:tc>
        <w:tcPr>
          <w:tcW w:w="10318" w:type="dxa"/>
          <w:vAlign w:val="bottom"/>
        </w:tcPr>
        <w:p w14:paraId="0934665A" w14:textId="77777777" w:rsidR="00996655" w:rsidRPr="00750D2F" w:rsidRDefault="00996655" w:rsidP="00996655">
          <w:pPr>
            <w:spacing w:after="0"/>
            <w:rPr>
              <w:rStyle w:val="PageNumber"/>
            </w:rPr>
          </w:pPr>
          <w:r w:rsidRPr="00750D2F">
            <w:rPr>
              <w:rStyle w:val="PageNumber"/>
            </w:rPr>
            <w:t xml:space="preserve">Department of </w:t>
          </w:r>
          <w:r w:rsidR="00BA1893">
            <w:rPr>
              <w:rStyle w:val="PageNumber"/>
              <w:b/>
            </w:rPr>
            <w:t xml:space="preserve">Health </w:t>
          </w:r>
        </w:p>
        <w:p w14:paraId="3A472DD6" w14:textId="3DA5AEF1"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843E2">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843E2">
            <w:rPr>
              <w:rStyle w:val="PageNumber"/>
              <w:noProof/>
            </w:rPr>
            <w:t>3</w:t>
          </w:r>
          <w:r w:rsidRPr="00AC4488">
            <w:rPr>
              <w:rStyle w:val="PageNumber"/>
            </w:rPr>
            <w:fldChar w:fldCharType="end"/>
          </w:r>
        </w:p>
      </w:tc>
    </w:tr>
  </w:tbl>
  <w:p w14:paraId="0788AD43"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99C7" w14:textId="77777777" w:rsidR="00D15D88" w:rsidRDefault="00D15D88" w:rsidP="00C0326E">
    <w:pPr>
      <w:spacing w:after="0"/>
    </w:pPr>
  </w:p>
  <w:p w14:paraId="637E4E2B"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0D316B89" w14:textId="77777777" w:rsidTr="008921B4">
      <w:trPr>
        <w:cantSplit/>
        <w:trHeight w:hRule="exact" w:val="1134"/>
      </w:trPr>
      <w:tc>
        <w:tcPr>
          <w:tcW w:w="7767" w:type="dxa"/>
          <w:vAlign w:val="bottom"/>
        </w:tcPr>
        <w:p w14:paraId="7F89B084" w14:textId="77777777" w:rsidR="00901430" w:rsidRPr="00901430" w:rsidRDefault="00901430" w:rsidP="00C0326E">
          <w:pPr>
            <w:spacing w:after="0"/>
            <w:rPr>
              <w:rStyle w:val="PageNumber"/>
            </w:rPr>
          </w:pPr>
          <w:r>
            <w:rPr>
              <w:rStyle w:val="PageNumber"/>
            </w:rPr>
            <w:t xml:space="preserve">Department of </w:t>
          </w:r>
          <w:r w:rsidR="00BA1893">
            <w:rPr>
              <w:b/>
              <w:sz w:val="19"/>
              <w:szCs w:val="19"/>
            </w:rPr>
            <w:t>Health</w:t>
          </w:r>
        </w:p>
        <w:p w14:paraId="6045C38B" w14:textId="43A1EF87"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5843E2">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5843E2">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6F6B949E" w14:textId="77777777" w:rsidR="00C0326E" w:rsidRPr="001E14EB" w:rsidRDefault="00C0326E" w:rsidP="00C0326E">
          <w:pPr>
            <w:spacing w:after="0"/>
            <w:jc w:val="right"/>
          </w:pPr>
          <w:r>
            <w:rPr>
              <w:noProof/>
              <w:lang w:eastAsia="en-AU"/>
            </w:rPr>
            <w:drawing>
              <wp:inline distT="0" distB="0" distL="0" distR="0" wp14:anchorId="285B7EF1" wp14:editId="5921BBE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BF71D3E"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47136" w14:textId="77777777" w:rsidR="00555934" w:rsidRDefault="00555934" w:rsidP="007332FF">
      <w:r>
        <w:separator/>
      </w:r>
    </w:p>
  </w:footnote>
  <w:footnote w:type="continuationSeparator" w:id="0">
    <w:p w14:paraId="148DB932" w14:textId="77777777" w:rsidR="00555934" w:rsidRDefault="0055593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9C6C" w14:textId="77777777" w:rsidR="00983000" w:rsidRPr="00162207" w:rsidRDefault="00555934"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4342D2">
          <w:t>Territory Equipment Program TEP Fact Sheet FS-1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5E2E" w14:textId="77777777" w:rsidR="00E908F1" w:rsidRDefault="00D61FD1" w:rsidP="00EB164C">
    <w:pPr>
      <w:pStyle w:val="Subtitle0"/>
    </w:pPr>
    <w:r>
      <w:t>Fact sheet</w:t>
    </w:r>
  </w:p>
  <w:p w14:paraId="69CBDA22" w14:textId="77777777" w:rsidR="004342D2" w:rsidRPr="004342D2" w:rsidRDefault="004342D2" w:rsidP="004342D2">
    <w:pPr>
      <w:pStyle w:val="Subtitle0"/>
      <w:jc w:val="left"/>
      <w:rPr>
        <w:color w:val="1F1F5F"/>
        <w:sz w:val="60"/>
        <w:szCs w:val="60"/>
      </w:rPr>
    </w:pPr>
    <w:r w:rsidRPr="004342D2">
      <w:rPr>
        <w:color w:val="1F1F5F"/>
        <w:sz w:val="60"/>
        <w:szCs w:val="60"/>
      </w:rPr>
      <w:t>Territory Equipment Program TEP Fact Sheet FS-1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0122A38"/>
    <w:multiLevelType w:val="hybridMultilevel"/>
    <w:tmpl w:val="C42A3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2"/>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70"/>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1"/>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7"/>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73"/>
  </w:num>
  <w:num w:numId="49">
    <w:abstractNumId w:val="6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5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572E"/>
    <w:rsid w:val="00117743"/>
    <w:rsid w:val="00117F5B"/>
    <w:rsid w:val="00127715"/>
    <w:rsid w:val="00132658"/>
    <w:rsid w:val="00150DC0"/>
    <w:rsid w:val="0015451B"/>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2D2"/>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5934"/>
    <w:rsid w:val="00556113"/>
    <w:rsid w:val="00564C12"/>
    <w:rsid w:val="005654B8"/>
    <w:rsid w:val="005762CC"/>
    <w:rsid w:val="00582D3D"/>
    <w:rsid w:val="005843E2"/>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385F"/>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474AC"/>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3F7D"/>
    <w:rsid w:val="00AB5413"/>
    <w:rsid w:val="00AD0DA4"/>
    <w:rsid w:val="00AD4169"/>
    <w:rsid w:val="00AE25C6"/>
    <w:rsid w:val="00AE306C"/>
    <w:rsid w:val="00AF28C1"/>
    <w:rsid w:val="00AF7713"/>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89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2BF7"/>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11755"/>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0CE93"/>
  <w15:docId w15:val="{F569CE3A-057D-48D2-83D3-144D7B8C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customStyle="1" w:styleId="Bulletpointlist">
    <w:name w:val="Bullet point list"/>
    <w:basedOn w:val="ListParagraph"/>
    <w:link w:val="BulletpointlistChar"/>
    <w:qFormat/>
    <w:rsid w:val="00F11755"/>
    <w:pPr>
      <w:numPr>
        <w:numId w:val="48"/>
      </w:numPr>
      <w:spacing w:before="60" w:after="60"/>
      <w:ind w:left="714" w:hanging="357"/>
    </w:pPr>
    <w:rPr>
      <w:rFonts w:cstheme="minorBidi"/>
      <w:iCs w:val="0"/>
      <w:lang w:eastAsia="en-AU"/>
    </w:rPr>
  </w:style>
  <w:style w:type="character" w:customStyle="1" w:styleId="BulletpointlistChar">
    <w:name w:val="Bullet point list Char"/>
    <w:basedOn w:val="DefaultParagraphFont"/>
    <w:link w:val="Bulletpointlist"/>
    <w:rsid w:val="00F11755"/>
    <w:rPr>
      <w:rFonts w:ascii="Lato" w:eastAsiaTheme="minorEastAsia" w:hAnsi="Lato" w:cstheme="minorBid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cscc@nt.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fol\AppData\Local\Packages\Microsoft.MicrosoftEdge_8wekyb3d8bbwe\TempState\Downloads\ntg-factsheet-template%20(4).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ntg-factsheet-template (4).dotx</Template>
  <TotalTime>8</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Territory Equipment Program TEP Fact Sheet FS-1</vt:lpstr>
    </vt:vector>
  </TitlesOfParts>
  <Company>Northern Territory Government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Equipment Program TEP Fact Sheet FS-1</dc:title>
  <dc:creator>Northern Territory Government</dc:creator>
  <cp:keywords/>
  <dc:description/>
  <cp:lastModifiedBy>Wendy Skewes</cp:lastModifiedBy>
  <cp:revision>1</cp:revision>
  <cp:lastPrinted>2019-08-28T22:41:00Z</cp:lastPrinted>
  <dcterms:created xsi:type="dcterms:W3CDTF">2021-02-26T01:14:00Z</dcterms:created>
  <dcterms:modified xsi:type="dcterms:W3CDTF">2022-08-24T03:30:00Z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2479;#NT Health|d566c66c-d5b6-4152-8710-6834add20a33</vt:lpwstr>
  </property>
  <property fmtid="{D5CDD505-2E9C-101B-9397-08002B2CF9AE}" pid="3" name="DocumentOwnerTitle-SG">
    <vt:lpwstr>Senior Policy Officer Disability Services DoH</vt:lpwstr>
  </property>
  <property fmtid="{D5CDD505-2E9C-101B-9397-08002B2CF9AE}" pid="4" name="Jurisdiction-SG">
    <vt:lpwstr>NT Health</vt:lpwstr>
  </property>
  <property fmtid="{D5CDD505-2E9C-101B-9397-08002B2CF9AE}" pid="5" name="ContentTypeId">
    <vt:lpwstr>0x010100370F03DA7C830644B9E8B53AEDFF05BE010400831F7A064BB20E47953FCC01818A144B</vt:lpwstr>
  </property>
  <property fmtid="{D5CDD505-2E9C-101B-9397-08002B2CF9AE}" pid="6" name="Approval Authority Title">
    <vt:lpwstr>2589;#Director Disability Services|3c429d88-21ed-4adb-8da4-9d3ba050143b</vt:lpwstr>
  </property>
  <property fmtid="{D5CDD505-2E9C-101B-9397-08002B2CF9AE}" pid="7" name="Accreditation Framework">
    <vt:lpwstr/>
  </property>
  <property fmtid="{D5CDD505-2E9C-101B-9397-08002B2CF9AE}" pid="8" name="Jurisdiction Exclusion.">
    <vt:lpwstr>12827;#N/A|a6d83873-ca56-432a-9c58-398a3757bbda</vt:lpwstr>
  </property>
  <property fmtid="{D5CDD505-2E9C-101B-9397-08002B2CF9AE}" pid="9" name="InternalTargetAud-SG">
    <vt:lpwstr>All Clinical Employees</vt:lpwstr>
  </property>
  <property fmtid="{D5CDD505-2E9C-101B-9397-08002B2CF9AE}" pid="10" name="External Target Audience">
    <vt:lpwstr/>
  </property>
  <property fmtid="{D5CDD505-2E9C-101B-9397-08002B2CF9AE}" pid="11" name="_dlc_DocIdItemGuid">
    <vt:lpwstr>22de3483-466d-4941-8387-101ef8e1eed0</vt:lpwstr>
  </property>
  <property fmtid="{D5CDD505-2E9C-101B-9397-08002B2CF9AE}" pid="12" name="Organisational/Business Unit Owner">
    <vt:lpwstr>24269;#Primary and Public Health Care Urban CAHS|a2029188-f5da-4be3-92d8-1e4c86654d22</vt:lpwstr>
  </property>
  <property fmtid="{D5CDD505-2E9C-101B-9397-08002B2CF9AE}" pid="13" name="Accreditation Framework.">
    <vt:lpwstr/>
  </property>
  <property fmtid="{D5CDD505-2E9C-101B-9397-08002B2CF9AE}" pid="14" name="Approval Authority Title.">
    <vt:lpwstr>12886;#Chief Operating Officer CAHS|ce97576d-c97f-457a-99b8-e1ef97a531c1;#12883;#Chief Operating Officer TEHS|e84dca3d-00c5-4efb-8f8b-b01dfa24c8de</vt:lpwstr>
  </property>
  <property fmtid="{D5CDD505-2E9C-101B-9397-08002B2CF9AE}" pid="15" name="Jurisdiction Exclusion-SG">
    <vt:lpwstr>N/A</vt:lpwstr>
  </property>
  <property fmtid="{D5CDD505-2E9C-101B-9397-08002B2CF9AE}" pid="16" name="Clinical Topics">
    <vt:lpwstr>20000;#Aids for Daily Living|f971b4de-9344-45ce-827c-d22d74fd81a6</vt:lpwstr>
  </property>
  <property fmtid="{D5CDD505-2E9C-101B-9397-08002B2CF9AE}" pid="17" name="Jurisdiction Exclusion">
    <vt:lpwstr>942;#N/A|99ff0359-15e2-4211-8211-ee91e64e473f</vt:lpwstr>
  </property>
  <property fmtid="{D5CDD505-2E9C-101B-9397-08002B2CF9AE}" pid="18" name="Document Owner - Job Title - New">
    <vt:lpwstr>24133;#Senior Manager Community Allied Health and Aged Care CAHS|78962fd5-aba8-471e-99a6-8a236ce73654</vt:lpwstr>
  </property>
  <property fmtid="{D5CDD505-2E9C-101B-9397-08002B2CF9AE}" pid="19" name="Document Type.">
    <vt:lpwstr>13182;#Fact Sheet|681bf973-120d-4769-a114-e2f740724bb9</vt:lpwstr>
  </property>
  <property fmtid="{D5CDD505-2E9C-101B-9397-08002B2CF9AE}" pid="20" name="Document Type">
    <vt:lpwstr>190;#Fact Sheet|987d4266-b74c-470c-85e6-3dfc17fab337</vt:lpwstr>
  </property>
  <property fmtid="{D5CDD505-2E9C-101B-9397-08002B2CF9AE}" pid="21" name="Administrative Topic">
    <vt:lpwstr>1157;#Service Delivery|f7825765-ad58-4b52-8f76-8dbf3e707743</vt:lpwstr>
  </property>
  <property fmtid="{D5CDD505-2E9C-101B-9397-08002B2CF9AE}" pid="22" name="Collection Name">
    <vt:lpwstr>2819;#Fact Sheets DEP|10fddd3d-e2cb-4e7f-9543-e01891d8a5b2;#2930;#Miscellaneous Aids for Daily Living DEP|c93c8ab0-2b60-4189-81db-c577372c4b66</vt:lpwstr>
  </property>
  <property fmtid="{D5CDD505-2E9C-101B-9397-08002B2CF9AE}" pid="23" name="Internal Target Audience.">
    <vt:lpwstr>13118;#All Clinical Employees|a9c9a07b-b666-48ba-894e-921b992897a4</vt:lpwstr>
  </property>
  <property fmtid="{D5CDD505-2E9C-101B-9397-08002B2CF9AE}" pid="24" name="Internal Target Audience">
    <vt:lpwstr>1501;#All Clinical Employees|3da0af3a-ce2a-449b-9c50-36b437e9677c</vt:lpwstr>
  </property>
  <property fmtid="{D5CDD505-2E9C-101B-9397-08002B2CF9AE}" pid="25" name="URL">
    <vt:lpwstr/>
  </property>
  <property fmtid="{D5CDD505-2E9C-101B-9397-08002B2CF9AE}" pid="26" name="Jurisdiction.">
    <vt:lpwstr>12824;#NT Health|0a212daa-5a7a-42c4-b867-01adc4b400f4</vt:lpwstr>
  </property>
  <property fmtid="{D5CDD505-2E9C-101B-9397-08002B2CF9AE}" pid="27" name="Organisational/Business Unit">
    <vt:lpwstr>2697;#Office of Disability|b3597fc7-f175-40a2-a90b-d559ffb13cf9</vt:lpwstr>
  </property>
  <property fmtid="{D5CDD505-2E9C-101B-9397-08002B2CF9AE}" pid="28" name="Administrative Topic.">
    <vt:lpwstr>13160;#Service Delivery|2cfd4a2f-dcec-4e25-9478-29de2bd53761</vt:lpwstr>
  </property>
  <property fmtid="{D5CDD505-2E9C-101B-9397-08002B2CF9AE}" pid="29" name="External Target Audience.">
    <vt:lpwstr/>
  </property>
  <property fmtid="{D5CDD505-2E9C-101B-9397-08002B2CF9AE}" pid="30" name="ApprovalAuthorityTitle-SG">
    <vt:lpwstr>Senior Director Office of Disability</vt:lpwstr>
  </property>
  <property fmtid="{D5CDD505-2E9C-101B-9397-08002B2CF9AE}" pid="31" name="Collection Name.">
    <vt:lpwstr>19999;#Fact Sheets DEP|7b3eab80-47e2-4d71-b664-bb5c4334d0d5;#19987;#Miscellaneous Aids for Daily Living DEP|2e73b84e-37cc-43a8-8fb7-9b94ad1f149f</vt:lpwstr>
  </property>
</Properties>
</file>