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alias w:val="Title"/>
        <w:tag w:val="Title"/>
        <w:id w:val="-509987125"/>
        <w:lock w:val="sdtLocked"/>
        <w:placeholder>
          <w:docPart w:val="CFB93B171E9B48FDA3F76021A0474763"/>
        </w:placeholder>
        <w:dataBinding w:prefixMappings="xmlns:ns0='http://purl.org/dc/elements/1.1/' xmlns:ns1='http://schemas.openxmlformats.org/package/2006/metadata/core-properties' " w:xpath="/ns1:coreProperties[1]/ns0:title[1]" w:storeItemID="{6C3C8BC8-F283-45AE-878A-BAB7291924A1}"/>
        <w:text/>
      </w:sdtPr>
      <w:sdtEndPr/>
      <w:sdtContent>
        <w:p w:rsidR="00886C9D" w:rsidRPr="00886C9D" w:rsidRDefault="004C1134" w:rsidP="00886C9D">
          <w:pPr>
            <w:pStyle w:val="Title"/>
          </w:pPr>
          <w:r>
            <w:t>Restrictive Practices Authorisation Framework</w:t>
          </w:r>
        </w:p>
      </w:sdtContent>
    </w:sdt>
    <w:p w:rsidR="00BD0F38" w:rsidRPr="00E77ACA" w:rsidRDefault="004C1134" w:rsidP="00E77ACA">
      <w:pPr>
        <w:pStyle w:val="Subtitle0"/>
        <w:sectPr w:rsidR="00BD0F38" w:rsidRPr="00E77ACA" w:rsidSect="00FA64B4">
          <w:headerReference w:type="default" r:id="rId9"/>
          <w:footerReference w:type="default" r:id="rId10"/>
          <w:headerReference w:type="first" r:id="rId11"/>
          <w:footerReference w:type="first" r:id="rId12"/>
          <w:pgSz w:w="11906" w:h="16838" w:code="9"/>
          <w:pgMar w:top="243" w:right="794" w:bottom="794" w:left="794" w:header="794" w:footer="794" w:gutter="0"/>
          <w:cols w:space="708"/>
          <w:titlePg/>
          <w:docGrid w:linePitch="360"/>
        </w:sectPr>
      </w:pPr>
      <w:r>
        <w:t>Guidelines for NDIS Service Providers</w:t>
      </w:r>
    </w:p>
    <w:tbl>
      <w:tblPr>
        <w:tblStyle w:val="NTGtable1"/>
        <w:tblW w:w="10348" w:type="dxa"/>
        <w:tblLook w:val="0480" w:firstRow="0" w:lastRow="0" w:firstColumn="1" w:lastColumn="0" w:noHBand="0" w:noVBand="1"/>
      </w:tblPr>
      <w:tblGrid>
        <w:gridCol w:w="2410"/>
        <w:gridCol w:w="7938"/>
      </w:tblGrid>
      <w:tr w:rsidR="00832B35" w:rsidTr="009E231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1F1F5F" w:themeColor="text1"/>
              <w:left w:val="single" w:sz="4" w:space="0" w:color="1F1F5F" w:themeColor="text1"/>
              <w:bottom w:val="nil"/>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lastRenderedPageBreak/>
              <w:t>Document title</w:t>
            </w:r>
          </w:p>
        </w:tc>
        <w:tc>
          <w:tcPr>
            <w:tcW w:w="7938" w:type="dxa"/>
            <w:tcBorders>
              <w:top w:val="single" w:sz="4" w:space="0" w:color="1F1F5F" w:themeColor="text1"/>
              <w:left w:val="single" w:sz="4" w:space="0" w:color="1F1F5F" w:themeColor="text1"/>
              <w:bottom w:val="nil"/>
              <w:right w:val="single" w:sz="4" w:space="0" w:color="1F1F5F" w:themeColor="text1"/>
            </w:tcBorders>
            <w:hideMark/>
          </w:tcPr>
          <w:p w:rsidR="00832B35" w:rsidRPr="00050358" w:rsidRDefault="00744369" w:rsidP="00050358">
            <w:pPr>
              <w:cnfStyle w:val="000000100000" w:firstRow="0" w:lastRow="0" w:firstColumn="0" w:lastColumn="0" w:oddVBand="0" w:evenVBand="0" w:oddHBand="1" w:evenHBand="0" w:firstRowFirstColumn="0" w:firstRowLastColumn="0" w:lastRowFirstColumn="0" w:lastRowLastColumn="0"/>
            </w:pPr>
            <w:sdt>
              <w:sdtPr>
                <w:alias w:val="Title"/>
                <w:tag w:val="Title"/>
                <w:id w:val="1887138691"/>
                <w:lock w:val="sdtLocked"/>
                <w:placeholder>
                  <w:docPart w:val="9F1808838AA843D48A2FB32D6490CAF3"/>
                </w:placeholder>
                <w:dataBinding w:prefixMappings="xmlns:ns0='http://purl.org/dc/elements/1.1/' xmlns:ns1='http://schemas.openxmlformats.org/package/2006/metadata/core-properties' " w:xpath="/ns1:coreProperties[1]/ns0:title[1]" w:storeItemID="{6C3C8BC8-F283-45AE-878A-BAB7291924A1}"/>
                <w15:color w:val="000000"/>
                <w:text/>
              </w:sdtPr>
              <w:sdtEndPr/>
              <w:sdtContent>
                <w:r w:rsidR="004C1134">
                  <w:t>Restrictive Practices Authorisation Framework</w:t>
                </w:r>
              </w:sdtContent>
            </w:sdt>
          </w:p>
        </w:tc>
      </w:tr>
      <w:tr w:rsidR="00832B35" w:rsidTr="009E2315">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nil"/>
              <w:left w:val="single" w:sz="4" w:space="0" w:color="1F1F5F" w:themeColor="text1"/>
              <w:bottom w:val="nil"/>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t>Contact details</w:t>
            </w:r>
          </w:p>
        </w:tc>
        <w:tc>
          <w:tcPr>
            <w:tcW w:w="7938" w:type="dxa"/>
            <w:tcBorders>
              <w:top w:val="nil"/>
              <w:left w:val="single" w:sz="4" w:space="0" w:color="1F1F5F" w:themeColor="text1"/>
              <w:bottom w:val="nil"/>
              <w:right w:val="single" w:sz="4" w:space="0" w:color="1F1F5F" w:themeColor="text1"/>
            </w:tcBorders>
            <w:hideMark/>
          </w:tcPr>
          <w:p w:rsidR="00832B35" w:rsidRPr="00050358" w:rsidRDefault="004C1134" w:rsidP="00050358">
            <w:pPr>
              <w:cnfStyle w:val="000000010000" w:firstRow="0" w:lastRow="0" w:firstColumn="0" w:lastColumn="0" w:oddVBand="0" w:evenVBand="0" w:oddHBand="0" w:evenHBand="1" w:firstRowFirstColumn="0" w:firstRowLastColumn="0" w:lastRowFirstColumn="0" w:lastRowLastColumn="0"/>
            </w:pPr>
            <w:r>
              <w:t>Restrictive Practices Authorisation Unit, Department of Health</w:t>
            </w:r>
          </w:p>
        </w:tc>
      </w:tr>
      <w:tr w:rsidR="00832B35" w:rsidTr="009E231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nil"/>
              <w:left w:val="single" w:sz="4" w:space="0" w:color="1F1F5F" w:themeColor="text1"/>
              <w:bottom w:val="nil"/>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t>Approved by</w:t>
            </w:r>
          </w:p>
        </w:tc>
        <w:tc>
          <w:tcPr>
            <w:tcW w:w="7938" w:type="dxa"/>
            <w:tcBorders>
              <w:top w:val="nil"/>
              <w:left w:val="single" w:sz="4" w:space="0" w:color="1F1F5F" w:themeColor="text1"/>
              <w:bottom w:val="nil"/>
              <w:right w:val="single" w:sz="4" w:space="0" w:color="1F1F5F" w:themeColor="text1"/>
            </w:tcBorders>
          </w:tcPr>
          <w:p w:rsidR="00832B35" w:rsidRPr="00050358" w:rsidRDefault="004C1134" w:rsidP="00050358">
            <w:pPr>
              <w:cnfStyle w:val="000000100000" w:firstRow="0" w:lastRow="0" w:firstColumn="0" w:lastColumn="0" w:oddVBand="0" w:evenVBand="0" w:oddHBand="1" w:evenHBand="0" w:firstRowFirstColumn="0" w:firstRowLastColumn="0" w:lastRowFirstColumn="0" w:lastRowLastColumn="0"/>
            </w:pPr>
            <w:r>
              <w:t>Samantha Livesley</w:t>
            </w:r>
          </w:p>
        </w:tc>
      </w:tr>
      <w:tr w:rsidR="00832B35" w:rsidTr="009E2315">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nil"/>
              <w:left w:val="single" w:sz="4" w:space="0" w:color="1F1F5F" w:themeColor="text1"/>
              <w:bottom w:val="nil"/>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t>Date approved</w:t>
            </w:r>
          </w:p>
        </w:tc>
        <w:tc>
          <w:tcPr>
            <w:tcW w:w="7938" w:type="dxa"/>
            <w:tcBorders>
              <w:top w:val="nil"/>
              <w:left w:val="single" w:sz="4" w:space="0" w:color="1F1F5F" w:themeColor="text1"/>
              <w:bottom w:val="nil"/>
              <w:right w:val="single" w:sz="4" w:space="0" w:color="1F1F5F" w:themeColor="text1"/>
            </w:tcBorders>
          </w:tcPr>
          <w:p w:rsidR="00832B35" w:rsidRPr="00050358" w:rsidRDefault="004C1134" w:rsidP="00050358">
            <w:pPr>
              <w:cnfStyle w:val="000000010000" w:firstRow="0" w:lastRow="0" w:firstColumn="0" w:lastColumn="0" w:oddVBand="0" w:evenVBand="0" w:oddHBand="0" w:evenHBand="1" w:firstRowFirstColumn="0" w:firstRowLastColumn="0" w:lastRowFirstColumn="0" w:lastRowLastColumn="0"/>
            </w:pPr>
            <w:r>
              <w:t>27 August 2019</w:t>
            </w:r>
          </w:p>
        </w:tc>
      </w:tr>
      <w:tr w:rsidR="00832B35" w:rsidTr="009E231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nil"/>
              <w:left w:val="single" w:sz="4" w:space="0" w:color="1F1F5F" w:themeColor="text1"/>
              <w:bottom w:val="nil"/>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t>Document review</w:t>
            </w:r>
          </w:p>
        </w:tc>
        <w:tc>
          <w:tcPr>
            <w:tcW w:w="7938" w:type="dxa"/>
            <w:tcBorders>
              <w:top w:val="nil"/>
              <w:left w:val="single" w:sz="4" w:space="0" w:color="1F1F5F" w:themeColor="text1"/>
              <w:bottom w:val="nil"/>
              <w:right w:val="single" w:sz="4" w:space="0" w:color="1F1F5F" w:themeColor="text1"/>
            </w:tcBorders>
            <w:hideMark/>
          </w:tcPr>
          <w:p w:rsidR="00832B35" w:rsidRPr="00050358" w:rsidRDefault="004C1134" w:rsidP="00050358">
            <w:pPr>
              <w:cnfStyle w:val="000000100000" w:firstRow="0" w:lastRow="0" w:firstColumn="0" w:lastColumn="0" w:oddVBand="0" w:evenVBand="0" w:oddHBand="1" w:evenHBand="0" w:firstRowFirstColumn="0" w:firstRowLastColumn="0" w:lastRowFirstColumn="0" w:lastRowLastColumn="0"/>
            </w:pPr>
            <w:r>
              <w:t>Annually</w:t>
            </w:r>
          </w:p>
        </w:tc>
      </w:tr>
      <w:tr w:rsidR="00832B35" w:rsidTr="009E2315">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nil"/>
              <w:left w:val="single" w:sz="4" w:space="0" w:color="1F1F5F" w:themeColor="text1"/>
              <w:bottom w:val="single" w:sz="4" w:space="0" w:color="1F1F5F" w:themeColor="text1"/>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t>TRM number</w:t>
            </w:r>
          </w:p>
        </w:tc>
        <w:tc>
          <w:tcPr>
            <w:tcW w:w="7938" w:type="dxa"/>
            <w:tcBorders>
              <w:top w:val="nil"/>
              <w:left w:val="single" w:sz="4" w:space="0" w:color="1F1F5F" w:themeColor="text1"/>
              <w:bottom w:val="single" w:sz="4" w:space="0" w:color="1F1F5F" w:themeColor="text1"/>
              <w:right w:val="single" w:sz="4" w:space="0" w:color="1F1F5F" w:themeColor="text1"/>
            </w:tcBorders>
            <w:hideMark/>
          </w:tcPr>
          <w:p w:rsidR="00832B35" w:rsidRPr="00050358" w:rsidRDefault="00832B35" w:rsidP="00050358">
            <w:pPr>
              <w:cnfStyle w:val="000000010000" w:firstRow="0" w:lastRow="0" w:firstColumn="0" w:lastColumn="0" w:oddVBand="0" w:evenVBand="0" w:oddHBand="0" w:evenHBand="1" w:firstRowFirstColumn="0" w:firstRowLastColumn="0" w:lastRowFirstColumn="0" w:lastRowLastColumn="0"/>
            </w:pPr>
            <w:r w:rsidRPr="00050358">
              <w:t>&lt;NA if not required&gt;</w:t>
            </w:r>
          </w:p>
        </w:tc>
      </w:tr>
    </w:tbl>
    <w:p w:rsidR="00832B35" w:rsidRDefault="00832B35" w:rsidP="00702D61"/>
    <w:tbl>
      <w:tblPr>
        <w:tblStyle w:val="NTGtable1"/>
        <w:tblW w:w="10341" w:type="dxa"/>
        <w:tblLayout w:type="fixed"/>
        <w:tblLook w:val="0120" w:firstRow="1" w:lastRow="0" w:firstColumn="0" w:lastColumn="1" w:noHBand="0" w:noVBand="0"/>
      </w:tblPr>
      <w:tblGrid>
        <w:gridCol w:w="1128"/>
        <w:gridCol w:w="2268"/>
        <w:gridCol w:w="2551"/>
        <w:gridCol w:w="4394"/>
      </w:tblGrid>
      <w:tr w:rsidR="003223FE" w:rsidRPr="00050358" w:rsidTr="00AA4C49">
        <w:trPr>
          <w:cnfStyle w:val="100000000000" w:firstRow="1" w:lastRow="0" w:firstColumn="0" w:lastColumn="0" w:oddVBand="0" w:evenVBand="0" w:oddHBand="0"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128" w:type="dxa"/>
          </w:tcPr>
          <w:p w:rsidR="003223FE" w:rsidRPr="00050358" w:rsidRDefault="003223FE" w:rsidP="00050358">
            <w:r w:rsidRPr="00050358">
              <w:t>Version</w:t>
            </w:r>
          </w:p>
        </w:tc>
        <w:tc>
          <w:tcPr>
            <w:cnfStyle w:val="000001000000" w:firstRow="0" w:lastRow="0" w:firstColumn="0" w:lastColumn="0" w:oddVBand="0" w:evenVBand="1" w:oddHBand="0" w:evenHBand="0" w:firstRowFirstColumn="0" w:firstRowLastColumn="0" w:lastRowFirstColumn="0" w:lastRowLastColumn="0"/>
            <w:tcW w:w="2268" w:type="dxa"/>
          </w:tcPr>
          <w:p w:rsidR="003223FE" w:rsidRPr="00050358" w:rsidRDefault="003223FE" w:rsidP="00050358">
            <w:r w:rsidRPr="00050358">
              <w:t>Date</w:t>
            </w:r>
          </w:p>
        </w:tc>
        <w:tc>
          <w:tcPr>
            <w:cnfStyle w:val="000010000000" w:firstRow="0" w:lastRow="0" w:firstColumn="0" w:lastColumn="0" w:oddVBand="1" w:evenVBand="0" w:oddHBand="0" w:evenHBand="0" w:firstRowFirstColumn="0" w:firstRowLastColumn="0" w:lastRowFirstColumn="0" w:lastRowLastColumn="0"/>
            <w:tcW w:w="2551" w:type="dxa"/>
          </w:tcPr>
          <w:p w:rsidR="003223FE" w:rsidRPr="00050358" w:rsidRDefault="003223FE" w:rsidP="00050358">
            <w:r w:rsidRPr="00050358">
              <w:t>Author</w:t>
            </w:r>
          </w:p>
        </w:tc>
        <w:tc>
          <w:tcPr>
            <w:cnfStyle w:val="000100001000" w:firstRow="0" w:lastRow="0" w:firstColumn="0" w:lastColumn="1" w:oddVBand="0" w:evenVBand="0" w:oddHBand="0" w:evenHBand="0" w:firstRowFirstColumn="0" w:firstRowLastColumn="1" w:lastRowFirstColumn="0" w:lastRowLastColumn="0"/>
            <w:tcW w:w="4394" w:type="dxa"/>
          </w:tcPr>
          <w:p w:rsidR="003223FE" w:rsidRPr="00050358" w:rsidRDefault="003223FE" w:rsidP="00050358">
            <w:r w:rsidRPr="00050358">
              <w:t>Changes made</w:t>
            </w:r>
          </w:p>
        </w:tc>
      </w:tr>
      <w:tr w:rsidR="003223FE" w:rsidRPr="00050358" w:rsidTr="00AA4C49">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128" w:type="dxa"/>
          </w:tcPr>
          <w:p w:rsidR="003223FE" w:rsidRPr="00050358" w:rsidRDefault="004C1134" w:rsidP="00050358">
            <w:r>
              <w:t>1.0</w:t>
            </w:r>
          </w:p>
        </w:tc>
        <w:tc>
          <w:tcPr>
            <w:cnfStyle w:val="000001000000" w:firstRow="0" w:lastRow="0" w:firstColumn="0" w:lastColumn="0" w:oddVBand="0" w:evenVBand="1" w:oddHBand="0" w:evenHBand="0" w:firstRowFirstColumn="0" w:firstRowLastColumn="0" w:lastRowFirstColumn="0" w:lastRowLastColumn="0"/>
            <w:tcW w:w="2268" w:type="dxa"/>
          </w:tcPr>
          <w:p w:rsidR="003223FE" w:rsidRPr="00050358" w:rsidRDefault="004C1134" w:rsidP="00050358">
            <w:r>
              <w:t>27/08/2019</w:t>
            </w:r>
          </w:p>
        </w:tc>
        <w:tc>
          <w:tcPr>
            <w:cnfStyle w:val="000010000000" w:firstRow="0" w:lastRow="0" w:firstColumn="0" w:lastColumn="0" w:oddVBand="1" w:evenVBand="0" w:oddHBand="0" w:evenHBand="0" w:firstRowFirstColumn="0" w:firstRowLastColumn="0" w:lastRowFirstColumn="0" w:lastRowLastColumn="0"/>
            <w:tcW w:w="2551" w:type="dxa"/>
          </w:tcPr>
          <w:p w:rsidR="003223FE" w:rsidRPr="00050358" w:rsidRDefault="004C1134" w:rsidP="00050358">
            <w:r>
              <w:t>Válli Camara</w:t>
            </w:r>
          </w:p>
        </w:tc>
        <w:tc>
          <w:tcPr>
            <w:cnfStyle w:val="000100000000" w:firstRow="0" w:lastRow="0" w:firstColumn="0" w:lastColumn="1" w:oddVBand="0" w:evenVBand="0" w:oddHBand="0" w:evenHBand="0" w:firstRowFirstColumn="0" w:firstRowLastColumn="0" w:lastRowFirstColumn="0" w:lastRowLastColumn="0"/>
            <w:tcW w:w="4394" w:type="dxa"/>
          </w:tcPr>
          <w:p w:rsidR="003223FE" w:rsidRPr="00050358" w:rsidRDefault="004C1134" w:rsidP="00050358">
            <w:r>
              <w:t>First Version</w:t>
            </w:r>
          </w:p>
        </w:tc>
      </w:tr>
      <w:tr w:rsidR="003223FE" w:rsidRPr="00050358" w:rsidTr="00AA4C49">
        <w:trPr>
          <w:cnfStyle w:val="000000010000" w:firstRow="0" w:lastRow="0" w:firstColumn="0" w:lastColumn="0" w:oddVBand="0" w:evenVBand="0" w:oddHBand="0" w:evenHBand="1"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128" w:type="dxa"/>
            <w:tcBorders>
              <w:bottom w:val="nil"/>
            </w:tcBorders>
          </w:tcPr>
          <w:p w:rsidR="003223FE" w:rsidRPr="00050358" w:rsidRDefault="003223FE" w:rsidP="00050358"/>
        </w:tc>
        <w:tc>
          <w:tcPr>
            <w:cnfStyle w:val="000001000000" w:firstRow="0" w:lastRow="0" w:firstColumn="0" w:lastColumn="0" w:oddVBand="0" w:evenVBand="1" w:oddHBand="0" w:evenHBand="0" w:firstRowFirstColumn="0" w:firstRowLastColumn="0" w:lastRowFirstColumn="0" w:lastRowLastColumn="0"/>
            <w:tcW w:w="2268" w:type="dxa"/>
            <w:tcBorders>
              <w:bottom w:val="nil"/>
            </w:tcBorders>
          </w:tcPr>
          <w:p w:rsidR="003223FE" w:rsidRPr="00050358" w:rsidRDefault="003223FE" w:rsidP="00050358"/>
        </w:tc>
        <w:tc>
          <w:tcPr>
            <w:cnfStyle w:val="000010000000" w:firstRow="0" w:lastRow="0" w:firstColumn="0" w:lastColumn="0" w:oddVBand="1" w:evenVBand="0" w:oddHBand="0" w:evenHBand="0" w:firstRowFirstColumn="0" w:firstRowLastColumn="0" w:lastRowFirstColumn="0" w:lastRowLastColumn="0"/>
            <w:tcW w:w="2551" w:type="dxa"/>
            <w:tcBorders>
              <w:bottom w:val="nil"/>
            </w:tcBorders>
          </w:tcPr>
          <w:p w:rsidR="003223FE" w:rsidRPr="00050358" w:rsidRDefault="003223FE" w:rsidP="00050358"/>
        </w:tc>
        <w:tc>
          <w:tcPr>
            <w:cnfStyle w:val="000100000000" w:firstRow="0" w:lastRow="0" w:firstColumn="0" w:lastColumn="1" w:oddVBand="0" w:evenVBand="0" w:oddHBand="0" w:evenHBand="0" w:firstRowFirstColumn="0" w:firstRowLastColumn="0" w:lastRowFirstColumn="0" w:lastRowLastColumn="0"/>
            <w:tcW w:w="4394" w:type="dxa"/>
            <w:tcBorders>
              <w:bottom w:val="nil"/>
            </w:tcBorders>
          </w:tcPr>
          <w:p w:rsidR="003223FE" w:rsidRPr="00050358" w:rsidRDefault="003223FE" w:rsidP="00050358"/>
        </w:tc>
      </w:tr>
      <w:tr w:rsidR="003223FE" w:rsidRPr="00050358" w:rsidTr="00AA4C49">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128" w:type="dxa"/>
            <w:tcBorders>
              <w:bottom w:val="single" w:sz="4" w:space="0" w:color="1F1F5F" w:themeColor="text1"/>
            </w:tcBorders>
          </w:tcPr>
          <w:p w:rsidR="003223FE" w:rsidRPr="00050358" w:rsidRDefault="003223FE" w:rsidP="00050358"/>
        </w:tc>
        <w:tc>
          <w:tcPr>
            <w:cnfStyle w:val="000001000000" w:firstRow="0" w:lastRow="0" w:firstColumn="0" w:lastColumn="0" w:oddVBand="0" w:evenVBand="1" w:oddHBand="0" w:evenHBand="0" w:firstRowFirstColumn="0" w:firstRowLastColumn="0" w:lastRowFirstColumn="0" w:lastRowLastColumn="0"/>
            <w:tcW w:w="2268" w:type="dxa"/>
            <w:tcBorders>
              <w:bottom w:val="single" w:sz="4" w:space="0" w:color="1F1F5F" w:themeColor="text1"/>
            </w:tcBorders>
          </w:tcPr>
          <w:p w:rsidR="003223FE" w:rsidRPr="00050358" w:rsidRDefault="003223FE" w:rsidP="00050358"/>
        </w:tc>
        <w:tc>
          <w:tcPr>
            <w:cnfStyle w:val="000010000000" w:firstRow="0" w:lastRow="0" w:firstColumn="0" w:lastColumn="0" w:oddVBand="1" w:evenVBand="0" w:oddHBand="0" w:evenHBand="0" w:firstRowFirstColumn="0" w:firstRowLastColumn="0" w:lastRowFirstColumn="0" w:lastRowLastColumn="0"/>
            <w:tcW w:w="2551" w:type="dxa"/>
            <w:tcBorders>
              <w:bottom w:val="single" w:sz="4" w:space="0" w:color="1F1F5F" w:themeColor="text1"/>
            </w:tcBorders>
          </w:tcPr>
          <w:p w:rsidR="003223FE" w:rsidRPr="00050358" w:rsidRDefault="003223FE" w:rsidP="00050358"/>
        </w:tc>
        <w:tc>
          <w:tcPr>
            <w:cnfStyle w:val="000100000000" w:firstRow="0" w:lastRow="0" w:firstColumn="0" w:lastColumn="1" w:oddVBand="0" w:evenVBand="0" w:oddHBand="0" w:evenHBand="0" w:firstRowFirstColumn="0" w:firstRowLastColumn="0" w:lastRowFirstColumn="0" w:lastRowLastColumn="0"/>
            <w:tcW w:w="4394" w:type="dxa"/>
            <w:tcBorders>
              <w:bottom w:val="single" w:sz="4" w:space="0" w:color="1F1F5F" w:themeColor="text1"/>
            </w:tcBorders>
          </w:tcPr>
          <w:p w:rsidR="003223FE" w:rsidRPr="00050358" w:rsidRDefault="003223FE" w:rsidP="00050358"/>
        </w:tc>
      </w:tr>
    </w:tbl>
    <w:p w:rsidR="003223FE" w:rsidRDefault="003223FE" w:rsidP="00702D61"/>
    <w:tbl>
      <w:tblPr>
        <w:tblStyle w:val="NTGtable1"/>
        <w:tblW w:w="10341" w:type="dxa"/>
        <w:tblLayout w:type="fixed"/>
        <w:tblLook w:val="0120" w:firstRow="1" w:lastRow="0" w:firstColumn="0" w:lastColumn="1" w:noHBand="0" w:noVBand="0"/>
      </w:tblPr>
      <w:tblGrid>
        <w:gridCol w:w="1979"/>
        <w:gridCol w:w="8362"/>
      </w:tblGrid>
      <w:tr w:rsidR="003223FE" w:rsidRPr="00E87DE1" w:rsidTr="00AA4C49">
        <w:trPr>
          <w:cnfStyle w:val="100000000000" w:firstRow="1" w:lastRow="0" w:firstColumn="0" w:lastColumn="0" w:oddVBand="0" w:evenVBand="0" w:oddHBand="0"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E87DE1" w:rsidRDefault="003223FE" w:rsidP="007B59D3">
            <w:r w:rsidRPr="00E87DE1">
              <w:rPr>
                <w:w w:val="105"/>
              </w:rPr>
              <w:t>Acronyms</w:t>
            </w:r>
          </w:p>
        </w:tc>
        <w:tc>
          <w:tcPr>
            <w:cnfStyle w:val="000100001000" w:firstRow="0" w:lastRow="0" w:firstColumn="0" w:lastColumn="1" w:oddVBand="0" w:evenVBand="0" w:oddHBand="0" w:evenHBand="0" w:firstRowFirstColumn="0" w:firstRowLastColumn="1" w:lastRowFirstColumn="0" w:lastRowLastColumn="0"/>
            <w:tcW w:w="8362" w:type="dxa"/>
          </w:tcPr>
          <w:p w:rsidR="003223FE" w:rsidRPr="00E87DE1" w:rsidRDefault="003223FE" w:rsidP="007B59D3">
            <w:r w:rsidRPr="00E87DE1">
              <w:rPr>
                <w:w w:val="105"/>
              </w:rPr>
              <w:t>Full</w:t>
            </w:r>
            <w:r w:rsidRPr="00E87DE1">
              <w:rPr>
                <w:spacing w:val="-17"/>
                <w:w w:val="105"/>
              </w:rPr>
              <w:t xml:space="preserve"> </w:t>
            </w:r>
            <w:r w:rsidRPr="00E87DE1">
              <w:rPr>
                <w:w w:val="105"/>
              </w:rPr>
              <w:t>form</w:t>
            </w:r>
          </w:p>
        </w:tc>
      </w:tr>
      <w:tr w:rsidR="003223FE" w:rsidRPr="00E87DE1" w:rsidTr="00AA4C49">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050358" w:rsidRDefault="004C1134" w:rsidP="00050358">
            <w:r>
              <w:t>NDIS</w:t>
            </w:r>
          </w:p>
        </w:tc>
        <w:tc>
          <w:tcPr>
            <w:cnfStyle w:val="000100000000" w:firstRow="0" w:lastRow="0" w:firstColumn="0" w:lastColumn="1" w:oddVBand="0" w:evenVBand="0" w:oddHBand="0" w:evenHBand="0" w:firstRowFirstColumn="0" w:firstRowLastColumn="0" w:lastRowFirstColumn="0" w:lastRowLastColumn="0"/>
            <w:tcW w:w="8362" w:type="dxa"/>
          </w:tcPr>
          <w:p w:rsidR="003223FE" w:rsidRPr="00050358" w:rsidRDefault="004C1134" w:rsidP="00050358">
            <w:r>
              <w:t>National Disability Insurance Scheme</w:t>
            </w:r>
          </w:p>
        </w:tc>
      </w:tr>
      <w:tr w:rsidR="003223FE" w:rsidRPr="00E87DE1" w:rsidTr="00AA4C49">
        <w:trPr>
          <w:cnfStyle w:val="000000010000" w:firstRow="0" w:lastRow="0" w:firstColumn="0" w:lastColumn="0" w:oddVBand="0" w:evenVBand="0" w:oddHBand="0" w:evenHBand="1"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050358" w:rsidRDefault="004C1134" w:rsidP="00050358">
            <w:r>
              <w:t>NT</w:t>
            </w:r>
          </w:p>
        </w:tc>
        <w:tc>
          <w:tcPr>
            <w:cnfStyle w:val="000100000000" w:firstRow="0" w:lastRow="0" w:firstColumn="0" w:lastColumn="1" w:oddVBand="0" w:evenVBand="0" w:oddHBand="0" w:evenHBand="0" w:firstRowFirstColumn="0" w:firstRowLastColumn="0" w:lastRowFirstColumn="0" w:lastRowLastColumn="0"/>
            <w:tcW w:w="8362" w:type="dxa"/>
          </w:tcPr>
          <w:p w:rsidR="003223FE" w:rsidRPr="00050358" w:rsidRDefault="004C1134" w:rsidP="00050358">
            <w:r>
              <w:t>Northern Territory</w:t>
            </w:r>
          </w:p>
        </w:tc>
      </w:tr>
      <w:tr w:rsidR="003223FE" w:rsidRPr="00E87DE1" w:rsidTr="00AA4C49">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050358" w:rsidRDefault="003223FE" w:rsidP="00050358"/>
        </w:tc>
        <w:tc>
          <w:tcPr>
            <w:cnfStyle w:val="000100000000" w:firstRow="0" w:lastRow="0" w:firstColumn="0" w:lastColumn="1" w:oddVBand="0" w:evenVBand="0" w:oddHBand="0" w:evenHBand="0" w:firstRowFirstColumn="0" w:firstRowLastColumn="0" w:lastRowFirstColumn="0" w:lastRowLastColumn="0"/>
            <w:tcW w:w="8362" w:type="dxa"/>
          </w:tcPr>
          <w:p w:rsidR="003223FE" w:rsidRPr="00050358" w:rsidRDefault="003223FE" w:rsidP="00050358"/>
        </w:tc>
      </w:tr>
      <w:tr w:rsidR="00FB4E3A" w:rsidRPr="00E87DE1" w:rsidTr="00AA4C49">
        <w:trPr>
          <w:cnfStyle w:val="000000010000" w:firstRow="0" w:lastRow="0" w:firstColumn="0" w:lastColumn="0" w:oddVBand="0" w:evenVBand="0" w:oddHBand="0" w:evenHBand="1"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FB4E3A" w:rsidRPr="00050358" w:rsidRDefault="00FB4E3A" w:rsidP="00050358"/>
        </w:tc>
        <w:tc>
          <w:tcPr>
            <w:cnfStyle w:val="000100000000" w:firstRow="0" w:lastRow="0" w:firstColumn="0" w:lastColumn="1" w:oddVBand="0" w:evenVBand="0" w:oddHBand="0" w:evenHBand="0" w:firstRowFirstColumn="0" w:firstRowLastColumn="0" w:lastRowFirstColumn="0" w:lastRowLastColumn="0"/>
            <w:tcW w:w="8362" w:type="dxa"/>
          </w:tcPr>
          <w:p w:rsidR="00FB4E3A" w:rsidRPr="00050358" w:rsidRDefault="00FB4E3A" w:rsidP="00050358"/>
        </w:tc>
      </w:tr>
    </w:tbl>
    <w:p w:rsidR="00702D61" w:rsidRDefault="00702D61" w:rsidP="00702D61">
      <w:r>
        <w:br w:type="page"/>
      </w:r>
      <w:bookmarkStart w:id="0" w:name="_GoBack"/>
      <w:bookmarkEnd w:id="0"/>
    </w:p>
    <w:sdt>
      <w:sdtPr>
        <w:rPr>
          <w:rFonts w:ascii="Lato" w:eastAsia="Calibri" w:hAnsi="Lato" w:cs="Times New Roman"/>
          <w:b/>
          <w:bCs w:val="0"/>
          <w:color w:val="auto"/>
          <w:sz w:val="22"/>
          <w:szCs w:val="22"/>
        </w:rPr>
        <w:id w:val="-88318220"/>
        <w:docPartObj>
          <w:docPartGallery w:val="Table of Contents"/>
          <w:docPartUnique/>
        </w:docPartObj>
      </w:sdtPr>
      <w:sdtEndPr>
        <w:rPr>
          <w:b w:val="0"/>
          <w:noProof/>
        </w:rPr>
      </w:sdtEndPr>
      <w:sdtContent>
        <w:p w:rsidR="00964B22" w:rsidRPr="00422874" w:rsidRDefault="00964B22" w:rsidP="00F479D5">
          <w:pPr>
            <w:pStyle w:val="TOCHeading"/>
            <w:tabs>
              <w:tab w:val="left" w:pos="8601"/>
            </w:tabs>
            <w:rPr>
              <w:lang w:eastAsia="ja-JP"/>
            </w:rPr>
          </w:pPr>
          <w:r w:rsidRPr="00422874">
            <w:t>Contents</w:t>
          </w:r>
        </w:p>
        <w:p w:rsidR="00744369" w:rsidRDefault="006747E0">
          <w:pPr>
            <w:pStyle w:val="TOC1"/>
            <w:rPr>
              <w:rFonts w:asciiTheme="minorHAnsi" w:eastAsiaTheme="minorEastAsia" w:hAnsiTheme="minorHAnsi" w:cstheme="minorBidi"/>
              <w:b w:val="0"/>
              <w:noProof/>
              <w:lang w:eastAsia="en-AU"/>
            </w:rPr>
          </w:pPr>
          <w:r>
            <w:rPr>
              <w:rFonts w:eastAsiaTheme="minorEastAsia" w:cs="Arial"/>
              <w:lang w:eastAsia="en-AU"/>
            </w:rPr>
            <w:fldChar w:fldCharType="begin"/>
          </w:r>
          <w:r>
            <w:rPr>
              <w:rFonts w:eastAsiaTheme="minorEastAsia" w:cs="Arial"/>
              <w:lang w:eastAsia="en-AU"/>
            </w:rPr>
            <w:instrText xml:space="preserve"> TOC \o "1-4" \h \z \u </w:instrText>
          </w:r>
          <w:r>
            <w:rPr>
              <w:rFonts w:eastAsiaTheme="minorEastAsia" w:cs="Arial"/>
              <w:lang w:eastAsia="en-AU"/>
            </w:rPr>
            <w:fldChar w:fldCharType="separate"/>
          </w:r>
          <w:hyperlink w:anchor="_Toc17965406" w:history="1">
            <w:r w:rsidR="00744369" w:rsidRPr="0037632A">
              <w:rPr>
                <w:rStyle w:val="Hyperlink"/>
                <w:noProof/>
                <w:lang w:eastAsia="en-AU"/>
              </w:rPr>
              <w:t>1. Purpose</w:t>
            </w:r>
            <w:r w:rsidR="00744369">
              <w:rPr>
                <w:noProof/>
                <w:webHidden/>
              </w:rPr>
              <w:tab/>
            </w:r>
            <w:r w:rsidR="00744369">
              <w:rPr>
                <w:noProof/>
                <w:webHidden/>
              </w:rPr>
              <w:fldChar w:fldCharType="begin"/>
            </w:r>
            <w:r w:rsidR="00744369">
              <w:rPr>
                <w:noProof/>
                <w:webHidden/>
              </w:rPr>
              <w:instrText xml:space="preserve"> PAGEREF _Toc17965406 \h </w:instrText>
            </w:r>
            <w:r w:rsidR="00744369">
              <w:rPr>
                <w:noProof/>
                <w:webHidden/>
              </w:rPr>
            </w:r>
            <w:r w:rsidR="00744369">
              <w:rPr>
                <w:noProof/>
                <w:webHidden/>
              </w:rPr>
              <w:fldChar w:fldCharType="separate"/>
            </w:r>
            <w:r w:rsidR="00744369">
              <w:rPr>
                <w:noProof/>
                <w:webHidden/>
              </w:rPr>
              <w:t>4</w:t>
            </w:r>
            <w:r w:rsidR="00744369">
              <w:rPr>
                <w:noProof/>
                <w:webHidden/>
              </w:rPr>
              <w:fldChar w:fldCharType="end"/>
            </w:r>
          </w:hyperlink>
        </w:p>
        <w:p w:rsidR="00744369" w:rsidRDefault="00744369">
          <w:pPr>
            <w:pStyle w:val="TOC1"/>
            <w:rPr>
              <w:rFonts w:asciiTheme="minorHAnsi" w:eastAsiaTheme="minorEastAsia" w:hAnsiTheme="minorHAnsi" w:cstheme="minorBidi"/>
              <w:b w:val="0"/>
              <w:noProof/>
              <w:lang w:eastAsia="en-AU"/>
            </w:rPr>
          </w:pPr>
          <w:hyperlink w:anchor="_Toc17965407" w:history="1">
            <w:r w:rsidRPr="0037632A">
              <w:rPr>
                <w:rStyle w:val="Hyperlink"/>
                <w:noProof/>
                <w:lang w:eastAsia="en-AU"/>
              </w:rPr>
              <w:t>2. Background</w:t>
            </w:r>
            <w:r>
              <w:rPr>
                <w:noProof/>
                <w:webHidden/>
              </w:rPr>
              <w:tab/>
            </w:r>
            <w:r>
              <w:rPr>
                <w:noProof/>
                <w:webHidden/>
              </w:rPr>
              <w:fldChar w:fldCharType="begin"/>
            </w:r>
            <w:r>
              <w:rPr>
                <w:noProof/>
                <w:webHidden/>
              </w:rPr>
              <w:instrText xml:space="preserve"> PAGEREF _Toc17965407 \h </w:instrText>
            </w:r>
            <w:r>
              <w:rPr>
                <w:noProof/>
                <w:webHidden/>
              </w:rPr>
            </w:r>
            <w:r>
              <w:rPr>
                <w:noProof/>
                <w:webHidden/>
              </w:rPr>
              <w:fldChar w:fldCharType="separate"/>
            </w:r>
            <w:r>
              <w:rPr>
                <w:noProof/>
                <w:webHidden/>
              </w:rPr>
              <w:t>4</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08" w:history="1">
            <w:r w:rsidRPr="0037632A">
              <w:rPr>
                <w:rStyle w:val="Hyperlink"/>
                <w:noProof/>
                <w:lang w:eastAsia="en-AU"/>
              </w:rPr>
              <w:t>2.1. Positive Behaviour Support</w:t>
            </w:r>
            <w:r>
              <w:rPr>
                <w:noProof/>
                <w:webHidden/>
              </w:rPr>
              <w:tab/>
            </w:r>
            <w:r>
              <w:rPr>
                <w:noProof/>
                <w:webHidden/>
              </w:rPr>
              <w:fldChar w:fldCharType="begin"/>
            </w:r>
            <w:r>
              <w:rPr>
                <w:noProof/>
                <w:webHidden/>
              </w:rPr>
              <w:instrText xml:space="preserve"> PAGEREF _Toc17965408 \h </w:instrText>
            </w:r>
            <w:r>
              <w:rPr>
                <w:noProof/>
                <w:webHidden/>
              </w:rPr>
            </w:r>
            <w:r>
              <w:rPr>
                <w:noProof/>
                <w:webHidden/>
              </w:rPr>
              <w:fldChar w:fldCharType="separate"/>
            </w:r>
            <w:r>
              <w:rPr>
                <w:noProof/>
                <w:webHidden/>
              </w:rPr>
              <w:t>4</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09" w:history="1">
            <w:r w:rsidRPr="0037632A">
              <w:rPr>
                <w:rStyle w:val="Hyperlink"/>
                <w:noProof/>
                <w:lang w:eastAsia="en-AU"/>
              </w:rPr>
              <w:t>2.2. Behaviours of Concern</w:t>
            </w:r>
            <w:r>
              <w:rPr>
                <w:noProof/>
                <w:webHidden/>
              </w:rPr>
              <w:tab/>
            </w:r>
            <w:r>
              <w:rPr>
                <w:noProof/>
                <w:webHidden/>
              </w:rPr>
              <w:fldChar w:fldCharType="begin"/>
            </w:r>
            <w:r>
              <w:rPr>
                <w:noProof/>
                <w:webHidden/>
              </w:rPr>
              <w:instrText xml:space="preserve"> PAGEREF _Toc17965409 \h </w:instrText>
            </w:r>
            <w:r>
              <w:rPr>
                <w:noProof/>
                <w:webHidden/>
              </w:rPr>
            </w:r>
            <w:r>
              <w:rPr>
                <w:noProof/>
                <w:webHidden/>
              </w:rPr>
              <w:fldChar w:fldCharType="separate"/>
            </w:r>
            <w:r>
              <w:rPr>
                <w:noProof/>
                <w:webHidden/>
              </w:rPr>
              <w:t>5</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0" w:history="1">
            <w:r w:rsidRPr="0037632A">
              <w:rPr>
                <w:rStyle w:val="Hyperlink"/>
                <w:noProof/>
                <w:lang w:eastAsia="en-AU"/>
              </w:rPr>
              <w:t>2.3. Restrictive Practices</w:t>
            </w:r>
            <w:r>
              <w:rPr>
                <w:noProof/>
                <w:webHidden/>
              </w:rPr>
              <w:tab/>
            </w:r>
            <w:r>
              <w:rPr>
                <w:noProof/>
                <w:webHidden/>
              </w:rPr>
              <w:fldChar w:fldCharType="begin"/>
            </w:r>
            <w:r>
              <w:rPr>
                <w:noProof/>
                <w:webHidden/>
              </w:rPr>
              <w:instrText xml:space="preserve"> PAGEREF _Toc17965410 \h </w:instrText>
            </w:r>
            <w:r>
              <w:rPr>
                <w:noProof/>
                <w:webHidden/>
              </w:rPr>
            </w:r>
            <w:r>
              <w:rPr>
                <w:noProof/>
                <w:webHidden/>
              </w:rPr>
              <w:fldChar w:fldCharType="separate"/>
            </w:r>
            <w:r>
              <w:rPr>
                <w:noProof/>
                <w:webHidden/>
              </w:rPr>
              <w:t>5</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1" w:history="1">
            <w:r w:rsidRPr="0037632A">
              <w:rPr>
                <w:rStyle w:val="Hyperlink"/>
                <w:noProof/>
                <w:lang w:eastAsia="en-AU"/>
              </w:rPr>
              <w:t>2.4. Prohibited restrictive practices</w:t>
            </w:r>
            <w:r>
              <w:rPr>
                <w:noProof/>
                <w:webHidden/>
              </w:rPr>
              <w:tab/>
            </w:r>
            <w:r>
              <w:rPr>
                <w:noProof/>
                <w:webHidden/>
              </w:rPr>
              <w:fldChar w:fldCharType="begin"/>
            </w:r>
            <w:r>
              <w:rPr>
                <w:noProof/>
                <w:webHidden/>
              </w:rPr>
              <w:instrText xml:space="preserve"> PAGEREF _Toc17965411 \h </w:instrText>
            </w:r>
            <w:r>
              <w:rPr>
                <w:noProof/>
                <w:webHidden/>
              </w:rPr>
            </w:r>
            <w:r>
              <w:rPr>
                <w:noProof/>
                <w:webHidden/>
              </w:rPr>
              <w:fldChar w:fldCharType="separate"/>
            </w:r>
            <w:r>
              <w:rPr>
                <w:noProof/>
                <w:webHidden/>
              </w:rPr>
              <w:t>6</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2" w:history="1">
            <w:r w:rsidRPr="0037632A">
              <w:rPr>
                <w:rStyle w:val="Hyperlink"/>
                <w:noProof/>
                <w:lang w:eastAsia="en-AU"/>
              </w:rPr>
              <w:t>2.5. Behaviour Support Plan (BSP)</w:t>
            </w:r>
            <w:r>
              <w:rPr>
                <w:noProof/>
                <w:webHidden/>
              </w:rPr>
              <w:tab/>
            </w:r>
            <w:r>
              <w:rPr>
                <w:noProof/>
                <w:webHidden/>
              </w:rPr>
              <w:fldChar w:fldCharType="begin"/>
            </w:r>
            <w:r>
              <w:rPr>
                <w:noProof/>
                <w:webHidden/>
              </w:rPr>
              <w:instrText xml:space="preserve"> PAGEREF _Toc17965412 \h </w:instrText>
            </w:r>
            <w:r>
              <w:rPr>
                <w:noProof/>
                <w:webHidden/>
              </w:rPr>
            </w:r>
            <w:r>
              <w:rPr>
                <w:noProof/>
                <w:webHidden/>
              </w:rPr>
              <w:fldChar w:fldCharType="separate"/>
            </w:r>
            <w:r>
              <w:rPr>
                <w:noProof/>
                <w:webHidden/>
              </w:rPr>
              <w:t>7</w:t>
            </w:r>
            <w:r>
              <w:rPr>
                <w:noProof/>
                <w:webHidden/>
              </w:rPr>
              <w:fldChar w:fldCharType="end"/>
            </w:r>
          </w:hyperlink>
        </w:p>
        <w:p w:rsidR="00744369" w:rsidRDefault="00744369">
          <w:pPr>
            <w:pStyle w:val="TOC1"/>
            <w:rPr>
              <w:rFonts w:asciiTheme="minorHAnsi" w:eastAsiaTheme="minorEastAsia" w:hAnsiTheme="minorHAnsi" w:cstheme="minorBidi"/>
              <w:b w:val="0"/>
              <w:noProof/>
              <w:lang w:eastAsia="en-AU"/>
            </w:rPr>
          </w:pPr>
          <w:hyperlink w:anchor="_Toc17965413" w:history="1">
            <w:r w:rsidRPr="0037632A">
              <w:rPr>
                <w:rStyle w:val="Hyperlink"/>
                <w:noProof/>
                <w:lang w:eastAsia="en-AU"/>
              </w:rPr>
              <w:t>3. Restrictive Practices Authorisation Framework</w:t>
            </w:r>
            <w:r>
              <w:rPr>
                <w:noProof/>
                <w:webHidden/>
              </w:rPr>
              <w:tab/>
            </w:r>
            <w:r>
              <w:rPr>
                <w:noProof/>
                <w:webHidden/>
              </w:rPr>
              <w:fldChar w:fldCharType="begin"/>
            </w:r>
            <w:r>
              <w:rPr>
                <w:noProof/>
                <w:webHidden/>
              </w:rPr>
              <w:instrText xml:space="preserve"> PAGEREF _Toc17965413 \h </w:instrText>
            </w:r>
            <w:r>
              <w:rPr>
                <w:noProof/>
                <w:webHidden/>
              </w:rPr>
            </w:r>
            <w:r>
              <w:rPr>
                <w:noProof/>
                <w:webHidden/>
              </w:rPr>
              <w:fldChar w:fldCharType="separate"/>
            </w:r>
            <w:r>
              <w:rPr>
                <w:noProof/>
                <w:webHidden/>
              </w:rPr>
              <w:t>7</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4" w:history="1">
            <w:r w:rsidRPr="0037632A">
              <w:rPr>
                <w:rStyle w:val="Hyperlink"/>
                <w:noProof/>
                <w:lang w:eastAsia="en-AU"/>
              </w:rPr>
              <w:t>3.1. Principles</w:t>
            </w:r>
            <w:r>
              <w:rPr>
                <w:noProof/>
                <w:webHidden/>
              </w:rPr>
              <w:tab/>
            </w:r>
            <w:r>
              <w:rPr>
                <w:noProof/>
                <w:webHidden/>
              </w:rPr>
              <w:fldChar w:fldCharType="begin"/>
            </w:r>
            <w:r>
              <w:rPr>
                <w:noProof/>
                <w:webHidden/>
              </w:rPr>
              <w:instrText xml:space="preserve"> PAGEREF _Toc17965414 \h </w:instrText>
            </w:r>
            <w:r>
              <w:rPr>
                <w:noProof/>
                <w:webHidden/>
              </w:rPr>
            </w:r>
            <w:r>
              <w:rPr>
                <w:noProof/>
                <w:webHidden/>
              </w:rPr>
              <w:fldChar w:fldCharType="separate"/>
            </w:r>
            <w:r>
              <w:rPr>
                <w:noProof/>
                <w:webHidden/>
              </w:rPr>
              <w:t>8</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5" w:history="1">
            <w:r w:rsidRPr="0037632A">
              <w:rPr>
                <w:rStyle w:val="Hyperlink"/>
                <w:noProof/>
                <w:lang w:eastAsia="en-AU"/>
              </w:rPr>
              <w:t>3.2. Functions of the Senior Practitioner</w:t>
            </w:r>
            <w:r>
              <w:rPr>
                <w:noProof/>
                <w:webHidden/>
              </w:rPr>
              <w:tab/>
            </w:r>
            <w:r>
              <w:rPr>
                <w:noProof/>
                <w:webHidden/>
              </w:rPr>
              <w:fldChar w:fldCharType="begin"/>
            </w:r>
            <w:r>
              <w:rPr>
                <w:noProof/>
                <w:webHidden/>
              </w:rPr>
              <w:instrText xml:space="preserve"> PAGEREF _Toc17965415 \h </w:instrText>
            </w:r>
            <w:r>
              <w:rPr>
                <w:noProof/>
                <w:webHidden/>
              </w:rPr>
            </w:r>
            <w:r>
              <w:rPr>
                <w:noProof/>
                <w:webHidden/>
              </w:rPr>
              <w:fldChar w:fldCharType="separate"/>
            </w:r>
            <w:r>
              <w:rPr>
                <w:noProof/>
                <w:webHidden/>
              </w:rPr>
              <w:t>9</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6" w:history="1">
            <w:r w:rsidRPr="0037632A">
              <w:rPr>
                <w:rStyle w:val="Hyperlink"/>
                <w:noProof/>
                <w:lang w:eastAsia="en-AU"/>
              </w:rPr>
              <w:t>3.3. Types of authorisation</w:t>
            </w:r>
            <w:r>
              <w:rPr>
                <w:noProof/>
                <w:webHidden/>
              </w:rPr>
              <w:tab/>
            </w:r>
            <w:r>
              <w:rPr>
                <w:noProof/>
                <w:webHidden/>
              </w:rPr>
              <w:fldChar w:fldCharType="begin"/>
            </w:r>
            <w:r>
              <w:rPr>
                <w:noProof/>
                <w:webHidden/>
              </w:rPr>
              <w:instrText xml:space="preserve"> PAGEREF _Toc17965416 \h </w:instrText>
            </w:r>
            <w:r>
              <w:rPr>
                <w:noProof/>
                <w:webHidden/>
              </w:rPr>
            </w:r>
            <w:r>
              <w:rPr>
                <w:noProof/>
                <w:webHidden/>
              </w:rPr>
              <w:fldChar w:fldCharType="separate"/>
            </w:r>
            <w:r>
              <w:rPr>
                <w:noProof/>
                <w:webHidden/>
              </w:rPr>
              <w:t>9</w:t>
            </w:r>
            <w:r>
              <w:rPr>
                <w:noProof/>
                <w:webHidden/>
              </w:rPr>
              <w:fldChar w:fldCharType="end"/>
            </w:r>
          </w:hyperlink>
        </w:p>
        <w:p w:rsidR="00744369" w:rsidRDefault="00744369">
          <w:pPr>
            <w:pStyle w:val="TOC1"/>
            <w:rPr>
              <w:rFonts w:asciiTheme="minorHAnsi" w:eastAsiaTheme="minorEastAsia" w:hAnsiTheme="minorHAnsi" w:cstheme="minorBidi"/>
              <w:b w:val="0"/>
              <w:noProof/>
              <w:lang w:eastAsia="en-AU"/>
            </w:rPr>
          </w:pPr>
          <w:hyperlink w:anchor="_Toc17965417" w:history="1">
            <w:r w:rsidRPr="0037632A">
              <w:rPr>
                <w:rStyle w:val="Hyperlink"/>
                <w:noProof/>
                <w:lang w:eastAsia="en-AU"/>
              </w:rPr>
              <w:t>4. Authorisation process</w:t>
            </w:r>
            <w:r>
              <w:rPr>
                <w:noProof/>
                <w:webHidden/>
              </w:rPr>
              <w:tab/>
            </w:r>
            <w:r>
              <w:rPr>
                <w:noProof/>
                <w:webHidden/>
              </w:rPr>
              <w:fldChar w:fldCharType="begin"/>
            </w:r>
            <w:r>
              <w:rPr>
                <w:noProof/>
                <w:webHidden/>
              </w:rPr>
              <w:instrText xml:space="preserve"> PAGEREF _Toc17965417 \h </w:instrText>
            </w:r>
            <w:r>
              <w:rPr>
                <w:noProof/>
                <w:webHidden/>
              </w:rPr>
            </w:r>
            <w:r>
              <w:rPr>
                <w:noProof/>
                <w:webHidden/>
              </w:rPr>
              <w:fldChar w:fldCharType="separate"/>
            </w:r>
            <w:r>
              <w:rPr>
                <w:noProof/>
                <w:webHidden/>
              </w:rPr>
              <w:t>10</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8" w:history="1">
            <w:r w:rsidRPr="0037632A">
              <w:rPr>
                <w:rStyle w:val="Hyperlink"/>
                <w:noProof/>
                <w:lang w:eastAsia="en-AU"/>
              </w:rPr>
              <w:t>4.1. Application of authorisation</w:t>
            </w:r>
            <w:r>
              <w:rPr>
                <w:noProof/>
                <w:webHidden/>
              </w:rPr>
              <w:tab/>
            </w:r>
            <w:r>
              <w:rPr>
                <w:noProof/>
                <w:webHidden/>
              </w:rPr>
              <w:fldChar w:fldCharType="begin"/>
            </w:r>
            <w:r>
              <w:rPr>
                <w:noProof/>
                <w:webHidden/>
              </w:rPr>
              <w:instrText xml:space="preserve"> PAGEREF _Toc17965418 \h </w:instrText>
            </w:r>
            <w:r>
              <w:rPr>
                <w:noProof/>
                <w:webHidden/>
              </w:rPr>
            </w:r>
            <w:r>
              <w:rPr>
                <w:noProof/>
                <w:webHidden/>
              </w:rPr>
              <w:fldChar w:fldCharType="separate"/>
            </w:r>
            <w:r>
              <w:rPr>
                <w:noProof/>
                <w:webHidden/>
              </w:rPr>
              <w:t>11</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19" w:history="1">
            <w:r w:rsidRPr="0037632A">
              <w:rPr>
                <w:rStyle w:val="Hyperlink"/>
                <w:noProof/>
                <w:lang w:eastAsia="en-AU"/>
              </w:rPr>
              <w:t>4.2. Assessment of applications</w:t>
            </w:r>
            <w:r>
              <w:rPr>
                <w:noProof/>
                <w:webHidden/>
              </w:rPr>
              <w:tab/>
            </w:r>
            <w:r>
              <w:rPr>
                <w:noProof/>
                <w:webHidden/>
              </w:rPr>
              <w:fldChar w:fldCharType="begin"/>
            </w:r>
            <w:r>
              <w:rPr>
                <w:noProof/>
                <w:webHidden/>
              </w:rPr>
              <w:instrText xml:space="preserve"> PAGEREF _Toc17965419 \h </w:instrText>
            </w:r>
            <w:r>
              <w:rPr>
                <w:noProof/>
                <w:webHidden/>
              </w:rPr>
            </w:r>
            <w:r>
              <w:rPr>
                <w:noProof/>
                <w:webHidden/>
              </w:rPr>
              <w:fldChar w:fldCharType="separate"/>
            </w:r>
            <w:r>
              <w:rPr>
                <w:noProof/>
                <w:webHidden/>
              </w:rPr>
              <w:t>11</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20" w:history="1">
            <w:r w:rsidRPr="0037632A">
              <w:rPr>
                <w:rStyle w:val="Hyperlink"/>
                <w:noProof/>
                <w:lang w:eastAsia="en-AU"/>
              </w:rPr>
              <w:t>4.3. Outcome of assessment</w:t>
            </w:r>
            <w:r>
              <w:rPr>
                <w:noProof/>
                <w:webHidden/>
              </w:rPr>
              <w:tab/>
            </w:r>
            <w:r>
              <w:rPr>
                <w:noProof/>
                <w:webHidden/>
              </w:rPr>
              <w:fldChar w:fldCharType="begin"/>
            </w:r>
            <w:r>
              <w:rPr>
                <w:noProof/>
                <w:webHidden/>
              </w:rPr>
              <w:instrText xml:space="preserve"> PAGEREF _Toc17965420 \h </w:instrText>
            </w:r>
            <w:r>
              <w:rPr>
                <w:noProof/>
                <w:webHidden/>
              </w:rPr>
            </w:r>
            <w:r>
              <w:rPr>
                <w:noProof/>
                <w:webHidden/>
              </w:rPr>
              <w:fldChar w:fldCharType="separate"/>
            </w:r>
            <w:r>
              <w:rPr>
                <w:noProof/>
                <w:webHidden/>
              </w:rPr>
              <w:t>12</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21" w:history="1">
            <w:r w:rsidRPr="0037632A">
              <w:rPr>
                <w:rStyle w:val="Hyperlink"/>
                <w:noProof/>
                <w:lang w:eastAsia="en-AU"/>
              </w:rPr>
              <w:t>4.4. Period of authorisation</w:t>
            </w:r>
            <w:r>
              <w:rPr>
                <w:noProof/>
                <w:webHidden/>
              </w:rPr>
              <w:tab/>
            </w:r>
            <w:r>
              <w:rPr>
                <w:noProof/>
                <w:webHidden/>
              </w:rPr>
              <w:fldChar w:fldCharType="begin"/>
            </w:r>
            <w:r>
              <w:rPr>
                <w:noProof/>
                <w:webHidden/>
              </w:rPr>
              <w:instrText xml:space="preserve"> PAGEREF _Toc17965421 \h </w:instrText>
            </w:r>
            <w:r>
              <w:rPr>
                <w:noProof/>
                <w:webHidden/>
              </w:rPr>
            </w:r>
            <w:r>
              <w:rPr>
                <w:noProof/>
                <w:webHidden/>
              </w:rPr>
              <w:fldChar w:fldCharType="separate"/>
            </w:r>
            <w:r>
              <w:rPr>
                <w:noProof/>
                <w:webHidden/>
              </w:rPr>
              <w:t>12</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22" w:history="1">
            <w:r w:rsidRPr="0037632A">
              <w:rPr>
                <w:rStyle w:val="Hyperlink"/>
                <w:noProof/>
                <w:lang w:eastAsia="en-AU"/>
              </w:rPr>
              <w:t>4.5. Revocation of authorisation</w:t>
            </w:r>
            <w:r>
              <w:rPr>
                <w:noProof/>
                <w:webHidden/>
              </w:rPr>
              <w:tab/>
            </w:r>
            <w:r>
              <w:rPr>
                <w:noProof/>
                <w:webHidden/>
              </w:rPr>
              <w:fldChar w:fldCharType="begin"/>
            </w:r>
            <w:r>
              <w:rPr>
                <w:noProof/>
                <w:webHidden/>
              </w:rPr>
              <w:instrText xml:space="preserve"> PAGEREF _Toc17965422 \h </w:instrText>
            </w:r>
            <w:r>
              <w:rPr>
                <w:noProof/>
                <w:webHidden/>
              </w:rPr>
            </w:r>
            <w:r>
              <w:rPr>
                <w:noProof/>
                <w:webHidden/>
              </w:rPr>
              <w:fldChar w:fldCharType="separate"/>
            </w:r>
            <w:r>
              <w:rPr>
                <w:noProof/>
                <w:webHidden/>
              </w:rPr>
              <w:t>12</w:t>
            </w:r>
            <w:r>
              <w:rPr>
                <w:noProof/>
                <w:webHidden/>
              </w:rPr>
              <w:fldChar w:fldCharType="end"/>
            </w:r>
          </w:hyperlink>
        </w:p>
        <w:p w:rsidR="00744369" w:rsidRDefault="00744369">
          <w:pPr>
            <w:pStyle w:val="TOC1"/>
            <w:rPr>
              <w:rFonts w:asciiTheme="minorHAnsi" w:eastAsiaTheme="minorEastAsia" w:hAnsiTheme="minorHAnsi" w:cstheme="minorBidi"/>
              <w:b w:val="0"/>
              <w:noProof/>
              <w:lang w:eastAsia="en-AU"/>
            </w:rPr>
          </w:pPr>
          <w:hyperlink w:anchor="_Toc17965423" w:history="1">
            <w:r w:rsidRPr="0037632A">
              <w:rPr>
                <w:rStyle w:val="Hyperlink"/>
                <w:noProof/>
                <w:lang w:eastAsia="en-AU"/>
              </w:rPr>
              <w:t>5. Review of authorisation decisions</w:t>
            </w:r>
            <w:r>
              <w:rPr>
                <w:noProof/>
                <w:webHidden/>
              </w:rPr>
              <w:tab/>
            </w:r>
            <w:r>
              <w:rPr>
                <w:noProof/>
                <w:webHidden/>
              </w:rPr>
              <w:fldChar w:fldCharType="begin"/>
            </w:r>
            <w:r>
              <w:rPr>
                <w:noProof/>
                <w:webHidden/>
              </w:rPr>
              <w:instrText xml:space="preserve"> PAGEREF _Toc17965423 \h </w:instrText>
            </w:r>
            <w:r>
              <w:rPr>
                <w:noProof/>
                <w:webHidden/>
              </w:rPr>
            </w:r>
            <w:r>
              <w:rPr>
                <w:noProof/>
                <w:webHidden/>
              </w:rPr>
              <w:fldChar w:fldCharType="separate"/>
            </w:r>
            <w:r>
              <w:rPr>
                <w:noProof/>
                <w:webHidden/>
              </w:rPr>
              <w:t>13</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24" w:history="1">
            <w:r w:rsidRPr="0037632A">
              <w:rPr>
                <w:rStyle w:val="Hyperlink"/>
                <w:noProof/>
                <w:lang w:eastAsia="en-AU"/>
              </w:rPr>
              <w:t>5.1. Internal review</w:t>
            </w:r>
            <w:r>
              <w:rPr>
                <w:noProof/>
                <w:webHidden/>
              </w:rPr>
              <w:tab/>
            </w:r>
            <w:r>
              <w:rPr>
                <w:noProof/>
                <w:webHidden/>
              </w:rPr>
              <w:fldChar w:fldCharType="begin"/>
            </w:r>
            <w:r>
              <w:rPr>
                <w:noProof/>
                <w:webHidden/>
              </w:rPr>
              <w:instrText xml:space="preserve"> PAGEREF _Toc17965424 \h </w:instrText>
            </w:r>
            <w:r>
              <w:rPr>
                <w:noProof/>
                <w:webHidden/>
              </w:rPr>
            </w:r>
            <w:r>
              <w:rPr>
                <w:noProof/>
                <w:webHidden/>
              </w:rPr>
              <w:fldChar w:fldCharType="separate"/>
            </w:r>
            <w:r>
              <w:rPr>
                <w:noProof/>
                <w:webHidden/>
              </w:rPr>
              <w:t>13</w:t>
            </w:r>
            <w:r>
              <w:rPr>
                <w:noProof/>
                <w:webHidden/>
              </w:rPr>
              <w:fldChar w:fldCharType="end"/>
            </w:r>
          </w:hyperlink>
        </w:p>
        <w:p w:rsidR="00744369" w:rsidRDefault="00744369">
          <w:pPr>
            <w:pStyle w:val="TOC2"/>
            <w:rPr>
              <w:rFonts w:asciiTheme="minorHAnsi" w:eastAsiaTheme="minorEastAsia" w:hAnsiTheme="minorHAnsi" w:cstheme="minorBidi"/>
              <w:noProof/>
              <w:lang w:eastAsia="en-AU"/>
            </w:rPr>
          </w:pPr>
          <w:hyperlink w:anchor="_Toc17965425" w:history="1">
            <w:r w:rsidRPr="0037632A">
              <w:rPr>
                <w:rStyle w:val="Hyperlink"/>
                <w:noProof/>
                <w:lang w:eastAsia="en-AU"/>
              </w:rPr>
              <w:t>5.2. Review by the Northern Territory Civil Administration Tribunal (NTCAT)</w:t>
            </w:r>
            <w:r>
              <w:rPr>
                <w:noProof/>
                <w:webHidden/>
              </w:rPr>
              <w:tab/>
            </w:r>
            <w:r>
              <w:rPr>
                <w:noProof/>
                <w:webHidden/>
              </w:rPr>
              <w:fldChar w:fldCharType="begin"/>
            </w:r>
            <w:r>
              <w:rPr>
                <w:noProof/>
                <w:webHidden/>
              </w:rPr>
              <w:instrText xml:space="preserve"> PAGEREF _Toc17965425 \h </w:instrText>
            </w:r>
            <w:r>
              <w:rPr>
                <w:noProof/>
                <w:webHidden/>
              </w:rPr>
            </w:r>
            <w:r>
              <w:rPr>
                <w:noProof/>
                <w:webHidden/>
              </w:rPr>
              <w:fldChar w:fldCharType="separate"/>
            </w:r>
            <w:r>
              <w:rPr>
                <w:noProof/>
                <w:webHidden/>
              </w:rPr>
              <w:t>13</w:t>
            </w:r>
            <w:r>
              <w:rPr>
                <w:noProof/>
                <w:webHidden/>
              </w:rPr>
              <w:fldChar w:fldCharType="end"/>
            </w:r>
          </w:hyperlink>
        </w:p>
        <w:p w:rsidR="00964B22" w:rsidRPr="004C1134" w:rsidRDefault="006747E0" w:rsidP="004E7885">
          <w:pPr>
            <w:rPr>
              <w:rFonts w:eastAsiaTheme="minorEastAsia" w:cs="Arial"/>
              <w:b/>
              <w:lang w:eastAsia="en-AU"/>
            </w:rPr>
            <w:sectPr w:rsidR="00964B22" w:rsidRPr="004C1134" w:rsidSect="004E7885">
              <w:headerReference w:type="default" r:id="rId13"/>
              <w:footerReference w:type="default" r:id="rId14"/>
              <w:headerReference w:type="first" r:id="rId15"/>
              <w:footerReference w:type="first" r:id="rId16"/>
              <w:pgSz w:w="11906" w:h="16838" w:code="9"/>
              <w:pgMar w:top="794" w:right="794" w:bottom="794" w:left="794" w:header="794" w:footer="794" w:gutter="0"/>
              <w:cols w:space="708"/>
              <w:titlePg/>
              <w:docGrid w:linePitch="360"/>
            </w:sectPr>
          </w:pPr>
          <w:r>
            <w:rPr>
              <w:rFonts w:eastAsiaTheme="minorEastAsia" w:cs="Arial"/>
              <w:lang w:eastAsia="en-AU"/>
            </w:rPr>
            <w:fldChar w:fldCharType="end"/>
          </w:r>
        </w:p>
      </w:sdtContent>
    </w:sdt>
    <w:p w:rsidR="004E0FD7" w:rsidRDefault="004C1134" w:rsidP="004E0FD7">
      <w:pPr>
        <w:pStyle w:val="Heading1"/>
        <w:rPr>
          <w:lang w:eastAsia="en-AU"/>
        </w:rPr>
      </w:pPr>
      <w:bookmarkStart w:id="1" w:name="_Toc17965406"/>
      <w:r>
        <w:rPr>
          <w:lang w:eastAsia="en-AU"/>
        </w:rPr>
        <w:lastRenderedPageBreak/>
        <w:t>Purpose</w:t>
      </w:r>
      <w:bookmarkEnd w:id="1"/>
    </w:p>
    <w:p w:rsidR="004C1134" w:rsidRPr="004C1134" w:rsidRDefault="004C1134" w:rsidP="004C1134">
      <w:pPr>
        <w:rPr>
          <w:lang w:eastAsia="en-AU"/>
        </w:rPr>
      </w:pPr>
      <w:r w:rsidRPr="004C1134">
        <w:rPr>
          <w:lang w:eastAsia="en-AU"/>
        </w:rPr>
        <w:t>These guidelines have been developed for National Disability Insurance Scheme (NDIS) service providers that require the authorisation of restrictive practices to be used as part of the provision of behaviour support to NDIS participants (participants).</w:t>
      </w:r>
    </w:p>
    <w:p w:rsidR="004C1134" w:rsidRPr="004C1134" w:rsidRDefault="004C1134" w:rsidP="004C1134">
      <w:pPr>
        <w:rPr>
          <w:lang w:eastAsia="en-AU"/>
        </w:rPr>
      </w:pPr>
      <w:r w:rsidRPr="004C1134">
        <w:rPr>
          <w:lang w:eastAsia="en-AU"/>
        </w:rPr>
        <w:t>The requirements set out in these guidelines are in addition to those provided by the NDIS Quality and Safeguards Commission (the NDIS Commission).  These guidelines should be read in conjunction with the:</w:t>
      </w:r>
    </w:p>
    <w:p w:rsidR="004C1134" w:rsidRPr="004C1134" w:rsidRDefault="004C1134" w:rsidP="00744369">
      <w:pPr>
        <w:pStyle w:val="ListParagraph"/>
        <w:numPr>
          <w:ilvl w:val="0"/>
          <w:numId w:val="10"/>
        </w:numPr>
        <w:rPr>
          <w:i/>
        </w:rPr>
      </w:pPr>
      <w:r w:rsidRPr="004C1134">
        <w:rPr>
          <w:i/>
        </w:rPr>
        <w:t>National Disability Insurance Scheme (Authorisations) Act 2019</w:t>
      </w:r>
    </w:p>
    <w:p w:rsidR="004C1134" w:rsidRPr="004C1134" w:rsidRDefault="004C1134" w:rsidP="00744369">
      <w:pPr>
        <w:pStyle w:val="ListParagraph"/>
        <w:numPr>
          <w:ilvl w:val="0"/>
          <w:numId w:val="10"/>
        </w:numPr>
      </w:pPr>
      <w:r w:rsidRPr="004C1134">
        <w:t>NDIS Commission Positive Behaviour Support Capability Framework</w:t>
      </w:r>
    </w:p>
    <w:p w:rsidR="004C1134" w:rsidRPr="004C1134" w:rsidRDefault="004C1134" w:rsidP="00744369">
      <w:pPr>
        <w:pStyle w:val="ListParagraph"/>
        <w:numPr>
          <w:ilvl w:val="0"/>
          <w:numId w:val="10"/>
        </w:numPr>
        <w:rPr>
          <w:i/>
        </w:rPr>
      </w:pPr>
      <w:r w:rsidRPr="004C1134">
        <w:rPr>
          <w:i/>
        </w:rPr>
        <w:t>National Disability Insurance Scheme Act 2013</w:t>
      </w:r>
    </w:p>
    <w:p w:rsidR="004C1134" w:rsidRPr="004C1134" w:rsidRDefault="004C1134" w:rsidP="00744369">
      <w:pPr>
        <w:pStyle w:val="ListParagraph"/>
        <w:numPr>
          <w:ilvl w:val="0"/>
          <w:numId w:val="10"/>
        </w:numPr>
      </w:pPr>
      <w:r w:rsidRPr="004C1134">
        <w:t>National Disability Insurance Scheme (Restrictive Practices and Behaviour Support) Rules 2018</w:t>
      </w:r>
    </w:p>
    <w:p w:rsidR="004C1134" w:rsidRPr="004C1134" w:rsidRDefault="004C1134" w:rsidP="00744369">
      <w:pPr>
        <w:pStyle w:val="ListParagraph"/>
        <w:numPr>
          <w:ilvl w:val="0"/>
          <w:numId w:val="10"/>
        </w:numPr>
      </w:pPr>
      <w:r w:rsidRPr="004C1134">
        <w:t>National Disability Insurance Scheme (Provider Registration and Practice Standard) Rules 2018</w:t>
      </w:r>
    </w:p>
    <w:p w:rsidR="004C1134" w:rsidRPr="004C1134" w:rsidRDefault="004C1134" w:rsidP="00744369">
      <w:pPr>
        <w:pStyle w:val="ListParagraph"/>
        <w:numPr>
          <w:ilvl w:val="0"/>
          <w:numId w:val="10"/>
        </w:numPr>
      </w:pPr>
      <w:r w:rsidRPr="004C1134">
        <w:t>National Disability Insurance Scheme Quality and Safeguarding Framework</w:t>
      </w:r>
    </w:p>
    <w:p w:rsidR="004C1134" w:rsidRPr="004C1134" w:rsidRDefault="004C1134" w:rsidP="004C1134">
      <w:pPr>
        <w:rPr>
          <w:lang w:eastAsia="en-AU"/>
        </w:rPr>
      </w:pPr>
    </w:p>
    <w:p w:rsidR="004C1134" w:rsidRDefault="004C1134" w:rsidP="004C1134">
      <w:pPr>
        <w:pStyle w:val="Heading1"/>
        <w:rPr>
          <w:lang w:eastAsia="en-AU"/>
        </w:rPr>
      </w:pPr>
      <w:bookmarkStart w:id="2" w:name="_Toc17965407"/>
      <w:r>
        <w:rPr>
          <w:lang w:eastAsia="en-AU"/>
        </w:rPr>
        <w:t>Background</w:t>
      </w:r>
      <w:bookmarkEnd w:id="2"/>
    </w:p>
    <w:p w:rsidR="004C1134" w:rsidRPr="005F365A" w:rsidRDefault="004C1134" w:rsidP="004C1134">
      <w:pPr>
        <w:rPr>
          <w:lang w:eastAsia="en-AU"/>
        </w:rPr>
      </w:pPr>
      <w:r w:rsidRPr="005F365A">
        <w:rPr>
          <w:lang w:eastAsia="en-AU"/>
        </w:rPr>
        <w:t>The National Disability Insurance Scheme (NDIS) Quality and Safeguarding Framework, endorsed by the Council of Australian Governments (COAG) in December 2016, committed states and territories to establish and operate restrictive practice authorisation processes for registered NDIS providers and registered NDIS behaviour support practitioners.</w:t>
      </w:r>
    </w:p>
    <w:p w:rsidR="004C1134" w:rsidRPr="005F365A" w:rsidRDefault="004C1134" w:rsidP="004C1134">
      <w:pPr>
        <w:rPr>
          <w:lang w:eastAsia="en-AU"/>
        </w:rPr>
      </w:pPr>
      <w:r>
        <w:rPr>
          <w:lang w:eastAsia="en-AU"/>
        </w:rPr>
        <w:t>The Northern Territory</w:t>
      </w:r>
      <w:r w:rsidRPr="005F365A">
        <w:rPr>
          <w:lang w:eastAsia="en-AU"/>
        </w:rPr>
        <w:t xml:space="preserve"> </w:t>
      </w:r>
      <w:r w:rsidRPr="00ED38E3">
        <w:rPr>
          <w:i/>
          <w:lang w:eastAsia="en-AU"/>
        </w:rPr>
        <w:t>National Disability Insurance Scheme (Authorisations) Act 2019</w:t>
      </w:r>
      <w:r w:rsidRPr="005F365A">
        <w:rPr>
          <w:lang w:eastAsia="en-AU"/>
        </w:rPr>
        <w:t xml:space="preserve"> (the Act) provides a statutory framework for the authorisation of restrictive practices to NDIS participants by NDIS service providers in the delivery of services to participants who have behaviour</w:t>
      </w:r>
      <w:r>
        <w:rPr>
          <w:lang w:eastAsia="en-AU"/>
        </w:rPr>
        <w:t>(s)</w:t>
      </w:r>
      <w:r w:rsidRPr="005F365A">
        <w:rPr>
          <w:lang w:eastAsia="en-AU"/>
        </w:rPr>
        <w:t xml:space="preserve"> that ha</w:t>
      </w:r>
      <w:r>
        <w:rPr>
          <w:lang w:eastAsia="en-AU"/>
        </w:rPr>
        <w:t>ve the</w:t>
      </w:r>
      <w:r w:rsidRPr="005F365A">
        <w:rPr>
          <w:lang w:eastAsia="en-AU"/>
        </w:rPr>
        <w:t xml:space="preserve"> potential to cause harm to themselves or others.</w:t>
      </w:r>
    </w:p>
    <w:p w:rsidR="004C1134" w:rsidRPr="005F365A" w:rsidRDefault="004C1134" w:rsidP="004C1134">
      <w:pPr>
        <w:rPr>
          <w:lang w:eastAsia="en-AU"/>
        </w:rPr>
      </w:pPr>
      <w:r w:rsidRPr="005F365A">
        <w:rPr>
          <w:lang w:eastAsia="en-AU"/>
        </w:rPr>
        <w:t xml:space="preserve">The introduction of a statutory framework aims to ensure that </w:t>
      </w:r>
      <w:r>
        <w:rPr>
          <w:lang w:eastAsia="en-AU"/>
        </w:rPr>
        <w:t xml:space="preserve">NDIS </w:t>
      </w:r>
      <w:r w:rsidRPr="005F365A">
        <w:rPr>
          <w:lang w:eastAsia="en-AU"/>
        </w:rPr>
        <w:t>participants living in the NT have the highest level of safeguarding provided through regulation of the authorisation of restrictive practices and ensuring alignment with the NDIS Rules and National Framework for Reducing and Eliminating the use of Restrictive Practices in the Disability Service Sector.</w:t>
      </w:r>
    </w:p>
    <w:p w:rsidR="004C1134" w:rsidRPr="005F365A" w:rsidRDefault="004C1134" w:rsidP="004C1134">
      <w:pPr>
        <w:rPr>
          <w:lang w:eastAsia="en-AU"/>
        </w:rPr>
      </w:pPr>
      <w:r w:rsidRPr="005F365A">
        <w:rPr>
          <w:lang w:eastAsia="en-AU"/>
        </w:rPr>
        <w:t>In addition, the creation of the Senior Practitioner role within the Act reflects a developmental approach towards building capacity within the sector to deliver the least restrictive support services and move towards reducing and eliminating restrictive practices.</w:t>
      </w:r>
    </w:p>
    <w:p w:rsidR="004C1134" w:rsidRDefault="004C1134" w:rsidP="004C1134">
      <w:pPr>
        <w:pStyle w:val="Heading2"/>
        <w:rPr>
          <w:lang w:eastAsia="en-AU"/>
        </w:rPr>
      </w:pPr>
      <w:bookmarkStart w:id="3" w:name="_Toc17965408"/>
      <w:r>
        <w:rPr>
          <w:lang w:eastAsia="en-AU"/>
        </w:rPr>
        <w:t>Positive Behaviour Support</w:t>
      </w:r>
      <w:bookmarkEnd w:id="3"/>
    </w:p>
    <w:p w:rsidR="004C1134" w:rsidRPr="005F365A" w:rsidRDefault="004C1134" w:rsidP="004C1134">
      <w:pPr>
        <w:rPr>
          <w:lang w:eastAsia="en-AU"/>
        </w:rPr>
      </w:pPr>
      <w:r w:rsidRPr="005F365A">
        <w:rPr>
          <w:lang w:eastAsia="en-AU"/>
        </w:rPr>
        <w:t xml:space="preserve">Building individual capacity is the primary focus of all supports to better enable choice and control. Behaviour supports may be used where a person with disability exhibits behaviours that pose a risk and can have an impact on themselves and others in their environment. </w:t>
      </w:r>
    </w:p>
    <w:p w:rsidR="004C1134" w:rsidRPr="005F365A" w:rsidRDefault="004C1134" w:rsidP="004C1134">
      <w:pPr>
        <w:rPr>
          <w:lang w:eastAsia="en-AU"/>
        </w:rPr>
      </w:pPr>
      <w:r w:rsidRPr="005F365A">
        <w:rPr>
          <w:lang w:eastAsia="en-AU"/>
        </w:rPr>
        <w:t xml:space="preserve">Positive behaviour support provides the opportunity to improve the quality of life and build </w:t>
      </w:r>
      <w:r>
        <w:rPr>
          <w:lang w:eastAsia="en-AU"/>
        </w:rPr>
        <w:t xml:space="preserve">the </w:t>
      </w:r>
      <w:r w:rsidRPr="005F365A">
        <w:rPr>
          <w:lang w:eastAsia="en-AU"/>
        </w:rPr>
        <w:t xml:space="preserve">individual capacity of a person with disability. A person </w:t>
      </w:r>
      <w:r w:rsidRPr="0027281F">
        <w:rPr>
          <w:lang w:eastAsia="en-AU"/>
        </w:rPr>
        <w:t xml:space="preserve">centred behaviour support approach promotes inclusion, choice, participation and equality. </w:t>
      </w:r>
    </w:p>
    <w:p w:rsidR="004C1134" w:rsidRPr="005F365A" w:rsidRDefault="004C1134" w:rsidP="004C1134">
      <w:pPr>
        <w:rPr>
          <w:lang w:eastAsia="en-AU"/>
        </w:rPr>
      </w:pPr>
      <w:r w:rsidRPr="005F365A">
        <w:rPr>
          <w:lang w:eastAsia="en-AU"/>
        </w:rPr>
        <w:lastRenderedPageBreak/>
        <w:t>While the primary goal of behaviour support is to enhance the quality of life of a person with a disability</w:t>
      </w:r>
      <w:r>
        <w:rPr>
          <w:lang w:eastAsia="en-AU"/>
        </w:rPr>
        <w:t xml:space="preserve">, </w:t>
      </w:r>
      <w:r w:rsidRPr="005F365A">
        <w:rPr>
          <w:lang w:eastAsia="en-AU"/>
        </w:rPr>
        <w:t>a secondary, although no less important goal, is to reduce or eliminate the need to use restrictive practices during the provision of support.</w:t>
      </w:r>
    </w:p>
    <w:p w:rsidR="004C1134" w:rsidRPr="005F365A" w:rsidRDefault="004C1134" w:rsidP="004C1134">
      <w:pPr>
        <w:rPr>
          <w:lang w:eastAsia="en-AU"/>
        </w:rPr>
      </w:pPr>
      <w:r w:rsidRPr="005F365A">
        <w:rPr>
          <w:lang w:eastAsia="en-AU"/>
        </w:rPr>
        <w:t xml:space="preserve">The NDIS Commission has developed specific requirements for the provision of positive behaviour support to participants.  This is supported by the </w:t>
      </w:r>
      <w:r w:rsidRPr="005F365A">
        <w:rPr>
          <w:i/>
          <w:lang w:eastAsia="en-AU"/>
        </w:rPr>
        <w:t>Behaviour Support Competency Framework</w:t>
      </w:r>
      <w:r w:rsidRPr="005F365A">
        <w:rPr>
          <w:lang w:eastAsia="en-AU"/>
        </w:rPr>
        <w:t xml:space="preserve"> which includes guiding principles to assist in the delivery of positive behaviour support.</w:t>
      </w:r>
    </w:p>
    <w:p w:rsidR="004C1134" w:rsidRDefault="004C1134" w:rsidP="004C1134">
      <w:pPr>
        <w:pStyle w:val="Heading2"/>
        <w:rPr>
          <w:lang w:eastAsia="en-AU"/>
        </w:rPr>
      </w:pPr>
      <w:bookmarkStart w:id="4" w:name="_Toc17965409"/>
      <w:r>
        <w:rPr>
          <w:lang w:eastAsia="en-AU"/>
        </w:rPr>
        <w:t>Behaviours of Concern</w:t>
      </w:r>
      <w:bookmarkEnd w:id="4"/>
    </w:p>
    <w:p w:rsidR="004C1134" w:rsidRPr="005F365A" w:rsidRDefault="004C1134" w:rsidP="004C1134">
      <w:pPr>
        <w:rPr>
          <w:lang w:eastAsia="en-AU"/>
        </w:rPr>
      </w:pPr>
      <w:r w:rsidRPr="005F365A">
        <w:rPr>
          <w:lang w:eastAsia="en-AU"/>
        </w:rPr>
        <w:t xml:space="preserve">A small proportion of people with disability may need additional supports to address behaviours of concern that are of such intensity, frequency or duration that the safety of the person or others is placed in jeopardy; or may cause a risk of harm more broadly. </w:t>
      </w:r>
    </w:p>
    <w:p w:rsidR="004C1134" w:rsidRDefault="004C1134" w:rsidP="004C1134">
      <w:pPr>
        <w:rPr>
          <w:lang w:eastAsia="en-AU"/>
        </w:rPr>
      </w:pPr>
      <w:r w:rsidRPr="005F365A">
        <w:rPr>
          <w:lang w:eastAsia="en-AU"/>
        </w:rPr>
        <w:t>In limited circumstances, these supports may include restrictive practices.  The primary purpose of the use of restrictive practices must be to respond to a person with disability’s behaviour of concern to protect that person or others from harm.</w:t>
      </w:r>
    </w:p>
    <w:p w:rsidR="004C1134" w:rsidRDefault="004C1134" w:rsidP="004C1134">
      <w:pPr>
        <w:pStyle w:val="Heading2"/>
        <w:rPr>
          <w:lang w:eastAsia="en-AU"/>
        </w:rPr>
      </w:pPr>
      <w:bookmarkStart w:id="5" w:name="_Toc17965410"/>
      <w:r>
        <w:rPr>
          <w:lang w:eastAsia="en-AU"/>
        </w:rPr>
        <w:t>Restrictive Practices</w:t>
      </w:r>
      <w:bookmarkEnd w:id="5"/>
    </w:p>
    <w:p w:rsidR="004C1134" w:rsidRPr="005F365A" w:rsidRDefault="004C1134" w:rsidP="004C1134">
      <w:pPr>
        <w:rPr>
          <w:lang w:eastAsia="en-AU"/>
        </w:rPr>
      </w:pPr>
      <w:r w:rsidRPr="005F365A">
        <w:rPr>
          <w:lang w:eastAsia="en-AU"/>
        </w:rPr>
        <w:t>A restrictive practice is any practice or intervention used to restrict the rights or freedom of movement of persons with disability for the purpose of controlling their behaviour in order to protect the person, other people or property from harm.</w:t>
      </w:r>
    </w:p>
    <w:p w:rsidR="004C1134" w:rsidRDefault="004C1134" w:rsidP="004C1134">
      <w:pPr>
        <w:rPr>
          <w:lang w:eastAsia="en-AU"/>
        </w:rPr>
      </w:pPr>
      <w:r w:rsidRPr="005F365A">
        <w:rPr>
          <w:lang w:eastAsia="en-AU"/>
        </w:rPr>
        <w:t>Restrictive practices requiring authorisation are those outlined in the</w:t>
      </w:r>
      <w:r w:rsidRPr="00CD5E3C">
        <w:rPr>
          <w:lang w:eastAsia="en-AU"/>
        </w:rPr>
        <w:t xml:space="preserve"> Act</w:t>
      </w:r>
      <w:r>
        <w:rPr>
          <w:i/>
          <w:lang w:eastAsia="en-AU"/>
        </w:rPr>
        <w:t xml:space="preserve"> </w:t>
      </w:r>
      <w:r w:rsidRPr="005F365A">
        <w:rPr>
          <w:lang w:eastAsia="en-AU"/>
        </w:rPr>
        <w:t xml:space="preserve">and </w:t>
      </w:r>
      <w:r w:rsidRPr="005F365A">
        <w:rPr>
          <w:i/>
          <w:lang w:eastAsia="en-AU"/>
        </w:rPr>
        <w:t>National Disability Insurance Scheme (Restrictive Practices and Behaviour Support) Rules 2018</w:t>
      </w:r>
      <w:r w:rsidRPr="005F365A">
        <w:rPr>
          <w:lang w:eastAsia="en-AU"/>
        </w:rPr>
        <w:t>.  Table 1 below provides further detail in relation to the five categories of restrictive practices.</w:t>
      </w:r>
    </w:p>
    <w:p w:rsidR="006B30FB" w:rsidRPr="00FA5726" w:rsidRDefault="006B30FB" w:rsidP="006B30FB">
      <w:pPr>
        <w:rPr>
          <w:b/>
          <w:color w:val="606060"/>
          <w:lang w:eastAsia="en-AU"/>
        </w:rPr>
      </w:pPr>
      <w:r w:rsidRPr="00FA5726">
        <w:rPr>
          <w:b/>
          <w:color w:val="606060"/>
          <w:lang w:eastAsia="en-AU"/>
        </w:rPr>
        <w:t>Table 1: Categories of restrictive practices</w:t>
      </w:r>
    </w:p>
    <w:tbl>
      <w:tblPr>
        <w:tblStyle w:val="NTGtable1"/>
        <w:tblW w:w="0" w:type="auto"/>
        <w:tblLook w:val="04A0" w:firstRow="1" w:lastRow="0" w:firstColumn="1" w:lastColumn="0" w:noHBand="0" w:noVBand="1"/>
      </w:tblPr>
      <w:tblGrid>
        <w:gridCol w:w="5154"/>
        <w:gridCol w:w="5154"/>
      </w:tblGrid>
      <w:tr w:rsidR="004C1134" w:rsidTr="004C113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154" w:type="dxa"/>
          </w:tcPr>
          <w:p w:rsidR="004C1134" w:rsidRDefault="004C1134" w:rsidP="004C1134">
            <w:pPr>
              <w:rPr>
                <w:lang w:eastAsia="en-AU"/>
              </w:rPr>
            </w:pPr>
            <w:r>
              <w:rPr>
                <w:lang w:eastAsia="en-AU"/>
              </w:rPr>
              <w:t>Category</w:t>
            </w:r>
          </w:p>
        </w:tc>
        <w:tc>
          <w:tcPr>
            <w:tcW w:w="5154" w:type="dxa"/>
          </w:tcPr>
          <w:p w:rsidR="004C1134" w:rsidRDefault="004C1134" w:rsidP="004C1134">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Description</w:t>
            </w:r>
          </w:p>
        </w:tc>
      </w:tr>
      <w:tr w:rsidR="004C1134" w:rsidTr="00B42C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4C1134" w:rsidRPr="004C1134" w:rsidRDefault="004C1134" w:rsidP="004C1134">
            <w:r w:rsidRPr="004C1134">
              <w:t>Seclusion</w:t>
            </w:r>
          </w:p>
        </w:tc>
        <w:tc>
          <w:tcPr>
            <w:tcW w:w="5154" w:type="dxa"/>
            <w:vAlign w:val="top"/>
          </w:tcPr>
          <w:p w:rsidR="004C1134" w:rsidRPr="004C1134" w:rsidRDefault="004C1134" w:rsidP="004C1134">
            <w:pPr>
              <w:pStyle w:val="Default"/>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4C1134">
              <w:rPr>
                <w:rFonts w:ascii="Lato" w:hAnsi="Lato"/>
                <w:sz w:val="22"/>
                <w:szCs w:val="22"/>
              </w:rPr>
              <w:t>Is the sole confinement of a person with a disability in a room or a physical space at any hour of the day or night where voluntary exit is prevented, not facilitated, or it is implied that voluntary exit is not permitted.</w:t>
            </w:r>
          </w:p>
        </w:tc>
      </w:tr>
      <w:tr w:rsidR="004C1134" w:rsidTr="003877C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4C1134" w:rsidRPr="004C1134" w:rsidRDefault="004C1134" w:rsidP="004C1134">
            <w:r w:rsidRPr="004C1134">
              <w:t>Chemical restraint</w:t>
            </w:r>
          </w:p>
        </w:tc>
        <w:tc>
          <w:tcPr>
            <w:tcW w:w="5154" w:type="dxa"/>
            <w:vAlign w:val="top"/>
          </w:tcPr>
          <w:p w:rsidR="004C1134" w:rsidRPr="004C1134" w:rsidRDefault="004C1134" w:rsidP="004C1134">
            <w:pPr>
              <w:pStyle w:val="Default"/>
              <w:cnfStyle w:val="000000010000" w:firstRow="0" w:lastRow="0" w:firstColumn="0" w:lastColumn="0" w:oddVBand="0" w:evenVBand="0" w:oddHBand="0" w:evenHBand="1" w:firstRowFirstColumn="0" w:firstRowLastColumn="0" w:lastRowFirstColumn="0" w:lastRowLastColumn="0"/>
              <w:rPr>
                <w:rFonts w:ascii="Lato" w:hAnsi="Lato"/>
                <w:sz w:val="22"/>
                <w:szCs w:val="22"/>
              </w:rPr>
            </w:pPr>
            <w:r w:rsidRPr="004C1134">
              <w:rPr>
                <w:rFonts w:ascii="Lato" w:hAnsi="Lato"/>
                <w:sz w:val="22"/>
                <w:szCs w:val="22"/>
              </w:rPr>
              <w:t xml:space="preserve">Is the use of medication or chemical substance for the primary purpose of influencing a person’s </w:t>
            </w:r>
            <w:proofErr w:type="gramStart"/>
            <w:r w:rsidRPr="004C1134">
              <w:rPr>
                <w:rFonts w:ascii="Lato" w:hAnsi="Lato"/>
                <w:sz w:val="22"/>
                <w:szCs w:val="22"/>
              </w:rPr>
              <w:t>behaviour.</w:t>
            </w:r>
            <w:proofErr w:type="gramEnd"/>
            <w:r w:rsidRPr="004C1134">
              <w:rPr>
                <w:rFonts w:ascii="Lato" w:hAnsi="Lato"/>
                <w:sz w:val="22"/>
                <w:szCs w:val="22"/>
              </w:rPr>
              <w:t xml:space="preserve"> It does not include the use of medication prescribed by a medical practitioner for the treatment of, or to enable treatment of a diagnosed mental disorder, a physical illness or a physical condition. </w:t>
            </w:r>
          </w:p>
        </w:tc>
      </w:tr>
      <w:tr w:rsidR="004C1134" w:rsidTr="000D24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4C1134" w:rsidRPr="004C1134" w:rsidRDefault="004C1134" w:rsidP="004C1134">
            <w:r w:rsidRPr="004C1134">
              <w:t>Mechanical restraint</w:t>
            </w:r>
          </w:p>
        </w:tc>
        <w:tc>
          <w:tcPr>
            <w:tcW w:w="5154" w:type="dxa"/>
            <w:vAlign w:val="top"/>
          </w:tcPr>
          <w:p w:rsidR="004C1134" w:rsidRPr="004C1134" w:rsidRDefault="004C1134" w:rsidP="004C1134">
            <w:pPr>
              <w:pStyle w:val="Default"/>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4C1134">
              <w:rPr>
                <w:rFonts w:ascii="Lato" w:hAnsi="Lato"/>
                <w:sz w:val="22"/>
                <w:szCs w:val="22"/>
              </w:rPr>
              <w:t xml:space="preserve">Is the use of a device to prevent, restrict, or subdue a person’s movement for the primary purpose of influencing a person’s behaviour but does not include the use of devices for therapeutic or non-behavioural </w:t>
            </w:r>
            <w:proofErr w:type="gramStart"/>
            <w:r w:rsidRPr="004C1134">
              <w:rPr>
                <w:rFonts w:ascii="Lato" w:hAnsi="Lato"/>
                <w:sz w:val="22"/>
                <w:szCs w:val="22"/>
              </w:rPr>
              <w:t>purposes.</w:t>
            </w:r>
            <w:proofErr w:type="gramEnd"/>
            <w:r w:rsidRPr="004C1134">
              <w:rPr>
                <w:rFonts w:ascii="Lato" w:hAnsi="Lato"/>
                <w:sz w:val="22"/>
                <w:szCs w:val="22"/>
              </w:rPr>
              <w:t xml:space="preserve"> </w:t>
            </w:r>
          </w:p>
        </w:tc>
      </w:tr>
      <w:tr w:rsidR="004C1134" w:rsidTr="00984A0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4C1134" w:rsidRPr="004C1134" w:rsidRDefault="004C1134" w:rsidP="004C1134">
            <w:r w:rsidRPr="004C1134">
              <w:t>Physical restraint</w:t>
            </w:r>
          </w:p>
        </w:tc>
        <w:tc>
          <w:tcPr>
            <w:tcW w:w="5154" w:type="dxa"/>
            <w:vAlign w:val="top"/>
          </w:tcPr>
          <w:p w:rsidR="004C1134" w:rsidRPr="004C1134" w:rsidRDefault="004C1134" w:rsidP="004C1134">
            <w:pPr>
              <w:pStyle w:val="Default"/>
              <w:cnfStyle w:val="000000010000" w:firstRow="0" w:lastRow="0" w:firstColumn="0" w:lastColumn="0" w:oddVBand="0" w:evenVBand="0" w:oddHBand="0" w:evenHBand="1" w:firstRowFirstColumn="0" w:firstRowLastColumn="0" w:lastRowFirstColumn="0" w:lastRowLastColumn="0"/>
              <w:rPr>
                <w:rFonts w:ascii="Lato" w:hAnsi="Lato"/>
                <w:sz w:val="22"/>
                <w:szCs w:val="22"/>
              </w:rPr>
            </w:pPr>
            <w:r w:rsidRPr="004C1134">
              <w:rPr>
                <w:rFonts w:ascii="Lato" w:hAnsi="Lato"/>
                <w:sz w:val="22"/>
                <w:szCs w:val="22"/>
              </w:rPr>
              <w:t xml:space="preserve">Is the use or action of physical force to prevent, restrict or subdue movement of a person’s body, or part of their body, for the primary purpose of influencing their </w:t>
            </w:r>
            <w:proofErr w:type="gramStart"/>
            <w:r w:rsidRPr="004C1134">
              <w:rPr>
                <w:rFonts w:ascii="Lato" w:hAnsi="Lato"/>
                <w:sz w:val="22"/>
                <w:szCs w:val="22"/>
              </w:rPr>
              <w:t>behaviour.</w:t>
            </w:r>
            <w:proofErr w:type="gramEnd"/>
            <w:r w:rsidRPr="004C1134">
              <w:rPr>
                <w:rFonts w:ascii="Lato" w:hAnsi="Lato"/>
                <w:sz w:val="22"/>
                <w:szCs w:val="22"/>
              </w:rPr>
              <w:t xml:space="preserve"> Physical restraint does </w:t>
            </w:r>
            <w:r w:rsidRPr="004C1134">
              <w:rPr>
                <w:rFonts w:ascii="Lato" w:hAnsi="Lato"/>
                <w:sz w:val="22"/>
                <w:szCs w:val="22"/>
              </w:rPr>
              <w:lastRenderedPageBreak/>
              <w:t>not including the use of a hands-on technique in a reflexive way to guide or redirect a person away from potential injury/harm, consistent with what could reasonable considered the exercise of care towards a person.*</w:t>
            </w:r>
          </w:p>
          <w:p w:rsidR="004C1134" w:rsidRPr="004C1134" w:rsidRDefault="004C1134" w:rsidP="004C1134">
            <w:pPr>
              <w:pStyle w:val="Default"/>
              <w:cnfStyle w:val="000000010000" w:firstRow="0" w:lastRow="0" w:firstColumn="0" w:lastColumn="0" w:oddVBand="0" w:evenVBand="0" w:oddHBand="0" w:evenHBand="1" w:firstRowFirstColumn="0" w:firstRowLastColumn="0" w:lastRowFirstColumn="0" w:lastRowLastColumn="0"/>
              <w:rPr>
                <w:rFonts w:ascii="Lato" w:hAnsi="Lato"/>
                <w:b/>
                <w:sz w:val="22"/>
                <w:szCs w:val="22"/>
              </w:rPr>
            </w:pPr>
            <w:r w:rsidRPr="004C1134">
              <w:rPr>
                <w:rFonts w:ascii="Lato" w:hAnsi="Lato"/>
                <w:b/>
                <w:sz w:val="22"/>
                <w:szCs w:val="22"/>
              </w:rPr>
              <w:t xml:space="preserve">*In the NT, authorisation will not be granted for the use of supine (face up position) or prone (face down) restraint. </w:t>
            </w:r>
          </w:p>
        </w:tc>
      </w:tr>
      <w:tr w:rsidR="004C1134" w:rsidRPr="004C1134" w:rsidTr="00984A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4C1134" w:rsidRPr="004C1134" w:rsidRDefault="004C1134" w:rsidP="004C1134">
            <w:r w:rsidRPr="004C1134">
              <w:lastRenderedPageBreak/>
              <w:t>Environmental restraint</w:t>
            </w:r>
          </w:p>
        </w:tc>
        <w:tc>
          <w:tcPr>
            <w:tcW w:w="5154" w:type="dxa"/>
            <w:vAlign w:val="top"/>
          </w:tcPr>
          <w:p w:rsidR="004C1134" w:rsidRPr="004C1134" w:rsidRDefault="004C1134" w:rsidP="004C1134">
            <w:pPr>
              <w:pStyle w:val="Default"/>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4C1134">
              <w:rPr>
                <w:rFonts w:ascii="Lato" w:hAnsi="Lato"/>
                <w:sz w:val="22"/>
                <w:szCs w:val="22"/>
              </w:rPr>
              <w:t xml:space="preserve">Restricts a person’s free access to all parts of their environment, including personal belongings, other items or preferred activities. </w:t>
            </w:r>
          </w:p>
        </w:tc>
      </w:tr>
    </w:tbl>
    <w:p w:rsidR="004C1134" w:rsidRPr="004C1134" w:rsidRDefault="004C1134" w:rsidP="004C1134">
      <w:pPr>
        <w:rPr>
          <w:lang w:eastAsia="en-AU"/>
        </w:rPr>
      </w:pPr>
    </w:p>
    <w:p w:rsidR="004C1134" w:rsidRDefault="006B30FB" w:rsidP="006B30FB">
      <w:pPr>
        <w:pStyle w:val="Heading2"/>
        <w:rPr>
          <w:lang w:eastAsia="en-AU"/>
        </w:rPr>
      </w:pPr>
      <w:bookmarkStart w:id="6" w:name="_Toc17965411"/>
      <w:r>
        <w:rPr>
          <w:lang w:eastAsia="en-AU"/>
        </w:rPr>
        <w:t>Prohibited restrictive practices</w:t>
      </w:r>
      <w:bookmarkEnd w:id="6"/>
    </w:p>
    <w:p w:rsidR="006B30FB" w:rsidRPr="005F365A" w:rsidRDefault="006B30FB" w:rsidP="006B30FB">
      <w:r w:rsidRPr="005F365A">
        <w:t>Prohibited restrictive practices are those practices that are considered to be prohibited and will not be authorised in the NT under any circumstances as they do not align with best practice and may be considered unlawful or unethical and violate the United Nations Convention on the Rights of Persons with Disabilities.</w:t>
      </w:r>
    </w:p>
    <w:p w:rsidR="006B30FB" w:rsidRPr="005F365A" w:rsidRDefault="006B30FB" w:rsidP="006B30FB">
      <w:r w:rsidRPr="005F365A">
        <w:t>Table 2 below provides further detail of prohibited restricted practices as defined in the</w:t>
      </w:r>
      <w:r>
        <w:t xml:space="preserve"> Act.</w:t>
      </w:r>
    </w:p>
    <w:p w:rsidR="006B30FB" w:rsidRPr="00FA5726" w:rsidRDefault="006B30FB" w:rsidP="006B30FB">
      <w:pPr>
        <w:rPr>
          <w:b/>
          <w:color w:val="606060"/>
          <w:lang w:eastAsia="en-AU"/>
        </w:rPr>
      </w:pPr>
      <w:r w:rsidRPr="00FA5726">
        <w:rPr>
          <w:b/>
          <w:color w:val="606060"/>
          <w:lang w:eastAsia="en-AU"/>
        </w:rPr>
        <w:t xml:space="preserve">Table </w:t>
      </w:r>
      <w:r>
        <w:rPr>
          <w:b/>
          <w:color w:val="606060"/>
          <w:lang w:eastAsia="en-AU"/>
        </w:rPr>
        <w:t>2</w:t>
      </w:r>
      <w:r w:rsidRPr="00FA5726">
        <w:rPr>
          <w:b/>
          <w:color w:val="606060"/>
          <w:lang w:eastAsia="en-AU"/>
        </w:rPr>
        <w:t xml:space="preserve">: </w:t>
      </w:r>
      <w:r>
        <w:rPr>
          <w:b/>
          <w:color w:val="606060"/>
          <w:lang w:eastAsia="en-AU"/>
        </w:rPr>
        <w:t>Categories of prohibited restrictive practices</w:t>
      </w:r>
    </w:p>
    <w:tbl>
      <w:tblPr>
        <w:tblStyle w:val="NTGtable1"/>
        <w:tblW w:w="0" w:type="auto"/>
        <w:tblLook w:val="04A0" w:firstRow="1" w:lastRow="0" w:firstColumn="1" w:lastColumn="0" w:noHBand="0" w:noVBand="1"/>
      </w:tblPr>
      <w:tblGrid>
        <w:gridCol w:w="5154"/>
        <w:gridCol w:w="5154"/>
      </w:tblGrid>
      <w:tr w:rsidR="006B30FB" w:rsidTr="006B30F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154" w:type="dxa"/>
          </w:tcPr>
          <w:p w:rsidR="006B30FB" w:rsidRDefault="006B30FB" w:rsidP="006B30FB">
            <w:pPr>
              <w:rPr>
                <w:lang w:eastAsia="en-AU"/>
              </w:rPr>
            </w:pPr>
            <w:r>
              <w:rPr>
                <w:lang w:eastAsia="en-AU"/>
              </w:rPr>
              <w:t>Category</w:t>
            </w:r>
          </w:p>
        </w:tc>
        <w:tc>
          <w:tcPr>
            <w:tcW w:w="5154" w:type="dxa"/>
          </w:tcPr>
          <w:p w:rsidR="006B30FB" w:rsidRDefault="006B30FB" w:rsidP="006B30FB">
            <w:pPr>
              <w:cnfStyle w:val="100000000000" w:firstRow="1" w:lastRow="0" w:firstColumn="0" w:lastColumn="0" w:oddVBand="0" w:evenVBand="0" w:oddHBand="0" w:evenHBand="0" w:firstRowFirstColumn="0" w:firstRowLastColumn="0" w:lastRowFirstColumn="0" w:lastRowLastColumn="0"/>
              <w:rPr>
                <w:lang w:eastAsia="en-AU"/>
              </w:rPr>
            </w:pPr>
            <w:r>
              <w:rPr>
                <w:lang w:eastAsia="en-AU"/>
              </w:rPr>
              <w:t>Description</w:t>
            </w:r>
          </w:p>
        </w:tc>
      </w:tr>
      <w:tr w:rsidR="006B30FB" w:rsidTr="001539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6B30FB" w:rsidRPr="006B30FB" w:rsidRDefault="006B30FB" w:rsidP="006B30FB">
            <w:r w:rsidRPr="006B30FB">
              <w:t>Aversion</w:t>
            </w:r>
          </w:p>
        </w:tc>
        <w:tc>
          <w:tcPr>
            <w:tcW w:w="5154" w:type="dxa"/>
            <w:vAlign w:val="top"/>
          </w:tcPr>
          <w:p w:rsidR="006B30FB" w:rsidRPr="006B30FB" w:rsidRDefault="006B30FB" w:rsidP="006B30FB">
            <w:pPr>
              <w:cnfStyle w:val="000000100000" w:firstRow="0" w:lastRow="0" w:firstColumn="0" w:lastColumn="0" w:oddVBand="0" w:evenVBand="0" w:oddHBand="1" w:evenHBand="0" w:firstRowFirstColumn="0" w:firstRowLastColumn="0" w:lastRowFirstColumn="0" w:lastRowLastColumn="0"/>
            </w:pPr>
            <w:r w:rsidRPr="006B30FB">
              <w:t>Any practice or action that may be experienced by a person as noxious, unpleasant or painful.</w:t>
            </w:r>
          </w:p>
        </w:tc>
      </w:tr>
      <w:tr w:rsidR="006B30FB" w:rsidTr="000956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6B30FB" w:rsidRPr="006B30FB" w:rsidRDefault="006B30FB" w:rsidP="006B30FB">
            <w:r w:rsidRPr="006B30FB">
              <w:t>Overcorrection</w:t>
            </w:r>
          </w:p>
        </w:tc>
        <w:tc>
          <w:tcPr>
            <w:tcW w:w="5154" w:type="dxa"/>
            <w:vAlign w:val="top"/>
          </w:tcPr>
          <w:p w:rsidR="006B30FB" w:rsidRPr="006B30FB" w:rsidRDefault="006B30FB" w:rsidP="006B30FB">
            <w:pPr>
              <w:pStyle w:val="Default"/>
              <w:cnfStyle w:val="000000010000" w:firstRow="0" w:lastRow="0" w:firstColumn="0" w:lastColumn="0" w:oddVBand="0" w:evenVBand="0" w:oddHBand="0" w:evenHBand="1" w:firstRowFirstColumn="0" w:firstRowLastColumn="0" w:lastRowFirstColumn="0" w:lastRowLastColumn="0"/>
              <w:rPr>
                <w:rFonts w:ascii="Lato" w:hAnsi="Lato"/>
                <w:sz w:val="22"/>
                <w:szCs w:val="22"/>
              </w:rPr>
            </w:pPr>
            <w:r w:rsidRPr="006B30FB">
              <w:rPr>
                <w:rFonts w:ascii="Lato" w:hAnsi="Lato"/>
                <w:sz w:val="22"/>
                <w:szCs w:val="22"/>
              </w:rPr>
              <w:t>Any practice where the response to an event is disproportionate to the event itself.</w:t>
            </w:r>
          </w:p>
        </w:tc>
      </w:tr>
      <w:tr w:rsidR="006B30FB" w:rsidTr="00A251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6B30FB" w:rsidRPr="006B30FB" w:rsidRDefault="006B30FB" w:rsidP="006B30FB">
            <w:r w:rsidRPr="006B30FB">
              <w:t>Misuse of medication</w:t>
            </w:r>
          </w:p>
        </w:tc>
        <w:tc>
          <w:tcPr>
            <w:tcW w:w="5154" w:type="dxa"/>
            <w:vAlign w:val="top"/>
          </w:tcPr>
          <w:p w:rsidR="006B30FB" w:rsidRPr="006B30FB" w:rsidRDefault="006B30FB" w:rsidP="006B30FB">
            <w:pPr>
              <w:pStyle w:val="Sectiontext"/>
              <w:spacing w:after="0"/>
              <w:ind w:left="0"/>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6B30FB">
              <w:rPr>
                <w:rFonts w:ascii="Lato" w:hAnsi="Lato" w:cs="Lato"/>
                <w:color w:val="000000"/>
                <w:sz w:val="22"/>
                <w:szCs w:val="22"/>
              </w:rPr>
              <w:t>Occurs when the administration to a person, contrary to the instructions of the prescriber, of medication prescribed for the purpose of influencing the person's behaviour, mood or arousal levels.</w:t>
            </w:r>
          </w:p>
        </w:tc>
      </w:tr>
      <w:tr w:rsidR="006B30FB" w:rsidTr="0009273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6B30FB" w:rsidRPr="006B30FB" w:rsidRDefault="006B30FB" w:rsidP="006B30FB">
            <w:r w:rsidRPr="006B30FB">
              <w:t>Denial of key needs</w:t>
            </w:r>
          </w:p>
        </w:tc>
        <w:tc>
          <w:tcPr>
            <w:tcW w:w="5154" w:type="dxa"/>
            <w:vAlign w:val="top"/>
          </w:tcPr>
          <w:p w:rsidR="006B30FB" w:rsidRPr="006B30FB" w:rsidRDefault="006B30FB" w:rsidP="006B30FB">
            <w:pPr>
              <w:pStyle w:val="Subsection"/>
              <w:spacing w:after="0"/>
              <w:ind w:left="0" w:firstLine="0"/>
              <w:cnfStyle w:val="000000010000" w:firstRow="0" w:lastRow="0" w:firstColumn="0" w:lastColumn="0" w:oddVBand="0" w:evenVBand="0" w:oddHBand="0" w:evenHBand="1" w:firstRowFirstColumn="0" w:firstRowLastColumn="0" w:lastRowFirstColumn="0" w:lastRowLastColumn="0"/>
              <w:rPr>
                <w:rFonts w:ascii="Lato" w:hAnsi="Lato" w:cs="Lato"/>
                <w:color w:val="000000"/>
                <w:sz w:val="22"/>
                <w:szCs w:val="22"/>
              </w:rPr>
            </w:pPr>
            <w:r w:rsidRPr="006B30FB">
              <w:rPr>
                <w:rFonts w:ascii="Lato" w:hAnsi="Lato" w:cs="Lato"/>
                <w:color w:val="000000"/>
                <w:sz w:val="22"/>
                <w:szCs w:val="22"/>
              </w:rPr>
              <w:t>Any practice to prevent a person's access to basic needs or personal supports including the following:</w:t>
            </w:r>
          </w:p>
          <w:p w:rsidR="006B30FB" w:rsidRPr="006B30FB" w:rsidRDefault="006B30FB" w:rsidP="00744369">
            <w:pPr>
              <w:pStyle w:val="Subsection"/>
              <w:numPr>
                <w:ilvl w:val="0"/>
                <w:numId w:val="11"/>
              </w:numPr>
              <w:spacing w:after="0"/>
              <w:cnfStyle w:val="000000010000" w:firstRow="0" w:lastRow="0" w:firstColumn="0" w:lastColumn="0" w:oddVBand="0" w:evenVBand="0" w:oddHBand="0" w:evenHBand="1" w:firstRowFirstColumn="0" w:firstRowLastColumn="0" w:lastRowFirstColumn="0" w:lastRowLastColumn="0"/>
              <w:rPr>
                <w:rFonts w:ascii="Lato" w:hAnsi="Lato" w:cs="Lato"/>
                <w:color w:val="000000"/>
                <w:sz w:val="22"/>
                <w:szCs w:val="22"/>
              </w:rPr>
            </w:pPr>
            <w:r w:rsidRPr="006B30FB">
              <w:rPr>
                <w:rFonts w:ascii="Lato" w:hAnsi="Lato" w:cs="Lato"/>
                <w:color w:val="000000"/>
                <w:sz w:val="22"/>
                <w:szCs w:val="22"/>
              </w:rPr>
              <w:t>family;</w:t>
            </w:r>
          </w:p>
          <w:p w:rsidR="006B30FB" w:rsidRPr="006B30FB" w:rsidRDefault="006B30FB" w:rsidP="00744369">
            <w:pPr>
              <w:pStyle w:val="Subsection"/>
              <w:numPr>
                <w:ilvl w:val="0"/>
                <w:numId w:val="11"/>
              </w:numPr>
              <w:spacing w:after="0"/>
              <w:cnfStyle w:val="000000010000" w:firstRow="0" w:lastRow="0" w:firstColumn="0" w:lastColumn="0" w:oddVBand="0" w:evenVBand="0" w:oddHBand="0" w:evenHBand="1" w:firstRowFirstColumn="0" w:firstRowLastColumn="0" w:lastRowFirstColumn="0" w:lastRowLastColumn="0"/>
              <w:rPr>
                <w:rFonts w:ascii="Lato" w:hAnsi="Lato" w:cs="Lato"/>
                <w:color w:val="000000"/>
                <w:sz w:val="22"/>
                <w:szCs w:val="22"/>
              </w:rPr>
            </w:pPr>
            <w:r w:rsidRPr="006B30FB">
              <w:rPr>
                <w:rFonts w:ascii="Lato" w:hAnsi="Lato" w:cs="Lato"/>
                <w:color w:val="000000"/>
                <w:sz w:val="22"/>
                <w:szCs w:val="22"/>
              </w:rPr>
              <w:t>friends;</w:t>
            </w:r>
          </w:p>
          <w:p w:rsidR="006B30FB" w:rsidRPr="006B30FB" w:rsidRDefault="006B30FB" w:rsidP="00744369">
            <w:pPr>
              <w:pStyle w:val="Subsection"/>
              <w:numPr>
                <w:ilvl w:val="0"/>
                <w:numId w:val="11"/>
              </w:numPr>
              <w:spacing w:after="0"/>
              <w:cnfStyle w:val="000000010000" w:firstRow="0" w:lastRow="0" w:firstColumn="0" w:lastColumn="0" w:oddVBand="0" w:evenVBand="0" w:oddHBand="0" w:evenHBand="1" w:firstRowFirstColumn="0" w:firstRowLastColumn="0" w:lastRowFirstColumn="0" w:lastRowLastColumn="0"/>
              <w:rPr>
                <w:rFonts w:ascii="Lato" w:hAnsi="Lato" w:cs="Lato"/>
                <w:color w:val="000000"/>
                <w:sz w:val="22"/>
                <w:szCs w:val="22"/>
              </w:rPr>
            </w:pPr>
            <w:r w:rsidRPr="006B30FB">
              <w:rPr>
                <w:rFonts w:ascii="Lato" w:hAnsi="Lato" w:cs="Lato"/>
                <w:color w:val="000000"/>
                <w:sz w:val="22"/>
                <w:szCs w:val="22"/>
              </w:rPr>
              <w:t>peers;</w:t>
            </w:r>
          </w:p>
          <w:p w:rsidR="006B30FB" w:rsidRPr="006B30FB" w:rsidRDefault="006B30FB" w:rsidP="00744369">
            <w:pPr>
              <w:pStyle w:val="Subsection"/>
              <w:numPr>
                <w:ilvl w:val="0"/>
                <w:numId w:val="11"/>
              </w:numPr>
              <w:spacing w:after="0"/>
              <w:cnfStyle w:val="000000010000" w:firstRow="0" w:lastRow="0" w:firstColumn="0" w:lastColumn="0" w:oddVBand="0" w:evenVBand="0" w:oddHBand="0" w:evenHBand="1" w:firstRowFirstColumn="0" w:firstRowLastColumn="0" w:lastRowFirstColumn="0" w:lastRowLastColumn="0"/>
              <w:rPr>
                <w:rFonts w:ascii="Lato" w:hAnsi="Lato" w:cs="Lato"/>
                <w:color w:val="000000"/>
                <w:sz w:val="22"/>
                <w:szCs w:val="22"/>
              </w:rPr>
            </w:pPr>
            <w:r w:rsidRPr="006B30FB">
              <w:rPr>
                <w:rFonts w:ascii="Lato" w:hAnsi="Lato" w:cs="Lato"/>
                <w:color w:val="000000"/>
                <w:sz w:val="22"/>
                <w:szCs w:val="22"/>
              </w:rPr>
              <w:t>advocates;</w:t>
            </w:r>
          </w:p>
          <w:p w:rsidR="006B30FB" w:rsidRPr="006B30FB" w:rsidRDefault="006B30FB" w:rsidP="00744369">
            <w:pPr>
              <w:pStyle w:val="Subsection"/>
              <w:numPr>
                <w:ilvl w:val="0"/>
                <w:numId w:val="11"/>
              </w:numPr>
              <w:spacing w:after="0"/>
              <w:cnfStyle w:val="000000010000" w:firstRow="0" w:lastRow="0" w:firstColumn="0" w:lastColumn="0" w:oddVBand="0" w:evenVBand="0" w:oddHBand="0" w:evenHBand="1" w:firstRowFirstColumn="0" w:firstRowLastColumn="0" w:lastRowFirstColumn="0" w:lastRowLastColumn="0"/>
              <w:rPr>
                <w:rFonts w:ascii="Lato" w:hAnsi="Lato" w:cs="Lato"/>
                <w:color w:val="000000"/>
                <w:sz w:val="22"/>
                <w:szCs w:val="22"/>
              </w:rPr>
            </w:pPr>
            <w:proofErr w:type="gramStart"/>
            <w:r w:rsidRPr="006B30FB">
              <w:rPr>
                <w:rFonts w:ascii="Lato" w:hAnsi="Lato" w:cs="Lato"/>
                <w:color w:val="000000"/>
                <w:sz w:val="22"/>
                <w:szCs w:val="22"/>
              </w:rPr>
              <w:t>possessions</w:t>
            </w:r>
            <w:proofErr w:type="gramEnd"/>
            <w:r w:rsidRPr="006B30FB">
              <w:rPr>
                <w:rFonts w:ascii="Lato" w:hAnsi="Lato" w:cs="Lato"/>
                <w:color w:val="000000"/>
                <w:sz w:val="22"/>
                <w:szCs w:val="22"/>
              </w:rPr>
              <w:t>.</w:t>
            </w:r>
          </w:p>
          <w:p w:rsidR="006B30FB" w:rsidRPr="006B30FB" w:rsidRDefault="006B30FB" w:rsidP="006B30FB">
            <w:pPr>
              <w:cnfStyle w:val="000000010000" w:firstRow="0" w:lastRow="0" w:firstColumn="0" w:lastColumn="0" w:oddVBand="0" w:evenVBand="0" w:oddHBand="0" w:evenHBand="1" w:firstRowFirstColumn="0" w:firstRowLastColumn="0" w:lastRowFirstColumn="0" w:lastRowLastColumn="0"/>
              <w:rPr>
                <w:rFonts w:cs="Lato"/>
                <w:color w:val="000000"/>
                <w:lang w:eastAsia="en-AU"/>
              </w:rPr>
            </w:pPr>
          </w:p>
        </w:tc>
      </w:tr>
      <w:tr w:rsidR="006B30FB" w:rsidTr="00AE1F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6B30FB" w:rsidRPr="006B30FB" w:rsidRDefault="006B30FB" w:rsidP="006B30FB">
            <w:pPr>
              <w:pStyle w:val="Default"/>
              <w:rPr>
                <w:rFonts w:ascii="Lato" w:hAnsi="Lato"/>
                <w:sz w:val="22"/>
                <w:szCs w:val="22"/>
              </w:rPr>
            </w:pPr>
            <w:r w:rsidRPr="006B30FB">
              <w:rPr>
                <w:rFonts w:ascii="Lato" w:hAnsi="Lato"/>
                <w:sz w:val="22"/>
                <w:szCs w:val="22"/>
              </w:rPr>
              <w:t xml:space="preserve">Practices related to degradation or vilification </w:t>
            </w:r>
          </w:p>
          <w:p w:rsidR="006B30FB" w:rsidRPr="006B30FB" w:rsidRDefault="006B30FB" w:rsidP="006B30FB"/>
        </w:tc>
        <w:tc>
          <w:tcPr>
            <w:tcW w:w="5154" w:type="dxa"/>
            <w:vAlign w:val="top"/>
          </w:tcPr>
          <w:p w:rsidR="006B30FB" w:rsidRPr="006B30FB" w:rsidRDefault="006B30FB" w:rsidP="006B30FB">
            <w:pPr>
              <w:pStyle w:val="Default"/>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6B30FB">
              <w:rPr>
                <w:rFonts w:ascii="Lato" w:hAnsi="Lato"/>
                <w:sz w:val="22"/>
                <w:szCs w:val="22"/>
              </w:rPr>
              <w:t xml:space="preserve">Actions that </w:t>
            </w:r>
          </w:p>
          <w:p w:rsidR="006B30FB" w:rsidRPr="006B30FB" w:rsidRDefault="006B30FB" w:rsidP="00744369">
            <w:pPr>
              <w:pStyle w:val="Default"/>
              <w:numPr>
                <w:ilvl w:val="0"/>
                <w:numId w:val="12"/>
              </w:numPr>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6B30FB">
              <w:rPr>
                <w:rFonts w:ascii="Lato" w:hAnsi="Lato"/>
                <w:sz w:val="22"/>
                <w:szCs w:val="22"/>
              </w:rPr>
              <w:t xml:space="preserve">are degrading or demeaning to the person; </w:t>
            </w:r>
          </w:p>
          <w:p w:rsidR="006B30FB" w:rsidRPr="006B30FB" w:rsidRDefault="006B30FB" w:rsidP="00744369">
            <w:pPr>
              <w:pStyle w:val="Default"/>
              <w:numPr>
                <w:ilvl w:val="0"/>
                <w:numId w:val="12"/>
              </w:numPr>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6B30FB">
              <w:rPr>
                <w:rFonts w:ascii="Lato" w:hAnsi="Lato"/>
                <w:sz w:val="22"/>
                <w:szCs w:val="22"/>
              </w:rPr>
              <w:t xml:space="preserve">may be perceived by the person or their guardian as harassment or vilification; </w:t>
            </w:r>
          </w:p>
          <w:p w:rsidR="006B30FB" w:rsidRPr="006B30FB" w:rsidRDefault="006B30FB" w:rsidP="00744369">
            <w:pPr>
              <w:pStyle w:val="Default"/>
              <w:numPr>
                <w:ilvl w:val="0"/>
                <w:numId w:val="12"/>
              </w:numPr>
              <w:cnfStyle w:val="000000100000" w:firstRow="0" w:lastRow="0" w:firstColumn="0" w:lastColumn="0" w:oddVBand="0" w:evenVBand="0" w:oddHBand="1" w:evenHBand="0" w:firstRowFirstColumn="0" w:firstRowLastColumn="0" w:lastRowFirstColumn="0" w:lastRowLastColumn="0"/>
              <w:rPr>
                <w:rFonts w:ascii="Lato" w:hAnsi="Lato"/>
                <w:sz w:val="22"/>
                <w:szCs w:val="22"/>
              </w:rPr>
            </w:pPr>
            <w:proofErr w:type="gramStart"/>
            <w:r w:rsidRPr="006B30FB">
              <w:rPr>
                <w:rFonts w:ascii="Lato" w:hAnsi="Lato"/>
                <w:sz w:val="22"/>
                <w:szCs w:val="22"/>
              </w:rPr>
              <w:t>are</w:t>
            </w:r>
            <w:proofErr w:type="gramEnd"/>
            <w:r w:rsidRPr="006B30FB">
              <w:rPr>
                <w:rFonts w:ascii="Lato" w:hAnsi="Lato"/>
                <w:sz w:val="22"/>
                <w:szCs w:val="22"/>
              </w:rPr>
              <w:t xml:space="preserve"> unethical. </w:t>
            </w:r>
          </w:p>
          <w:p w:rsidR="006B30FB" w:rsidRPr="006B30FB" w:rsidRDefault="006B30FB" w:rsidP="006B30FB">
            <w:pPr>
              <w:cnfStyle w:val="000000100000" w:firstRow="0" w:lastRow="0" w:firstColumn="0" w:lastColumn="0" w:oddVBand="0" w:evenVBand="0" w:oddHBand="1" w:evenHBand="0" w:firstRowFirstColumn="0" w:firstRowLastColumn="0" w:lastRowFirstColumn="0" w:lastRowLastColumn="0"/>
            </w:pPr>
          </w:p>
        </w:tc>
      </w:tr>
      <w:tr w:rsidR="006B30FB" w:rsidTr="00A631B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6B30FB" w:rsidRPr="006B30FB" w:rsidRDefault="006B30FB" w:rsidP="006B30FB">
            <w:pPr>
              <w:pStyle w:val="Default"/>
              <w:rPr>
                <w:rFonts w:ascii="Lato" w:hAnsi="Lato"/>
                <w:sz w:val="22"/>
                <w:szCs w:val="22"/>
              </w:rPr>
            </w:pPr>
            <w:r w:rsidRPr="006B30FB">
              <w:rPr>
                <w:rFonts w:ascii="Lato" w:hAnsi="Lato"/>
                <w:sz w:val="22"/>
                <w:szCs w:val="22"/>
              </w:rPr>
              <w:lastRenderedPageBreak/>
              <w:t xml:space="preserve">Practices which limit or deny access to community, culture and language </w:t>
            </w:r>
          </w:p>
          <w:p w:rsidR="006B30FB" w:rsidRPr="006B30FB" w:rsidRDefault="006B30FB" w:rsidP="006B30FB"/>
        </w:tc>
        <w:tc>
          <w:tcPr>
            <w:tcW w:w="5154" w:type="dxa"/>
            <w:vAlign w:val="top"/>
          </w:tcPr>
          <w:p w:rsidR="006B30FB" w:rsidRPr="006B30FB" w:rsidRDefault="006B30FB" w:rsidP="006B30FB">
            <w:pPr>
              <w:pStyle w:val="Default"/>
              <w:cnfStyle w:val="000000010000" w:firstRow="0" w:lastRow="0" w:firstColumn="0" w:lastColumn="0" w:oddVBand="0" w:evenVBand="0" w:oddHBand="0" w:evenHBand="1" w:firstRowFirstColumn="0" w:firstRowLastColumn="0" w:lastRowFirstColumn="0" w:lastRowLastColumn="0"/>
              <w:rPr>
                <w:rFonts w:ascii="Lato" w:hAnsi="Lato"/>
                <w:sz w:val="22"/>
                <w:szCs w:val="22"/>
              </w:rPr>
            </w:pPr>
            <w:r w:rsidRPr="006B30FB">
              <w:rPr>
                <w:rFonts w:ascii="Lato" w:hAnsi="Lato"/>
                <w:sz w:val="22"/>
                <w:szCs w:val="22"/>
              </w:rPr>
              <w:t>Actions that limit participation opportunities or access to community, culture and language, including the denial of access to interpreters.</w:t>
            </w:r>
          </w:p>
          <w:p w:rsidR="006B30FB" w:rsidRPr="006B30FB" w:rsidRDefault="006B30FB" w:rsidP="006B30FB">
            <w:pPr>
              <w:cnfStyle w:val="000000010000" w:firstRow="0" w:lastRow="0" w:firstColumn="0" w:lastColumn="0" w:oddVBand="0" w:evenVBand="0" w:oddHBand="0" w:evenHBand="1" w:firstRowFirstColumn="0" w:firstRowLastColumn="0" w:lastRowFirstColumn="0" w:lastRowLastColumn="0"/>
            </w:pPr>
          </w:p>
        </w:tc>
      </w:tr>
      <w:tr w:rsidR="006B30FB" w:rsidRPr="006B30FB" w:rsidTr="00A63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54" w:type="dxa"/>
            <w:vAlign w:val="top"/>
          </w:tcPr>
          <w:p w:rsidR="006B30FB" w:rsidRPr="006B30FB" w:rsidRDefault="006B30FB" w:rsidP="006B30FB">
            <w:r w:rsidRPr="006B30FB">
              <w:t>Seclusion of a person under the age of 18 years</w:t>
            </w:r>
          </w:p>
        </w:tc>
        <w:tc>
          <w:tcPr>
            <w:tcW w:w="5154" w:type="dxa"/>
            <w:vAlign w:val="top"/>
          </w:tcPr>
          <w:p w:rsidR="006B30FB" w:rsidRPr="006B30FB" w:rsidRDefault="006B30FB" w:rsidP="006B30FB">
            <w:pPr>
              <w:pStyle w:val="Default"/>
              <w:cnfStyle w:val="000000100000" w:firstRow="0" w:lastRow="0" w:firstColumn="0" w:lastColumn="0" w:oddVBand="0" w:evenVBand="0" w:oddHBand="1" w:evenHBand="0" w:firstRowFirstColumn="0" w:firstRowLastColumn="0" w:lastRowFirstColumn="0" w:lastRowLastColumn="0"/>
              <w:rPr>
                <w:rFonts w:ascii="Lato" w:hAnsi="Lato"/>
                <w:sz w:val="22"/>
                <w:szCs w:val="22"/>
              </w:rPr>
            </w:pPr>
            <w:r w:rsidRPr="006B30FB">
              <w:rPr>
                <w:rFonts w:ascii="Lato" w:hAnsi="Lato"/>
                <w:sz w:val="22"/>
                <w:szCs w:val="22"/>
              </w:rPr>
              <w:t xml:space="preserve">This includes the isolation of a child or young person (under 18 years of age) in a setting from which they are unable to leave. </w:t>
            </w:r>
          </w:p>
          <w:p w:rsidR="006B30FB" w:rsidRPr="006B30FB" w:rsidRDefault="006B30FB" w:rsidP="006B30FB">
            <w:pPr>
              <w:cnfStyle w:val="000000100000" w:firstRow="0" w:lastRow="0" w:firstColumn="0" w:lastColumn="0" w:oddVBand="0" w:evenVBand="0" w:oddHBand="1" w:evenHBand="0" w:firstRowFirstColumn="0" w:firstRowLastColumn="0" w:lastRowFirstColumn="0" w:lastRowLastColumn="0"/>
            </w:pPr>
          </w:p>
        </w:tc>
      </w:tr>
    </w:tbl>
    <w:p w:rsidR="006B30FB" w:rsidRDefault="006B30FB" w:rsidP="006B30FB">
      <w:pPr>
        <w:rPr>
          <w:lang w:eastAsia="en-AU"/>
        </w:rPr>
      </w:pPr>
    </w:p>
    <w:p w:rsidR="006B30FB" w:rsidRDefault="006B30FB" w:rsidP="006B30FB">
      <w:pPr>
        <w:pStyle w:val="Heading2"/>
        <w:rPr>
          <w:lang w:eastAsia="en-AU"/>
        </w:rPr>
      </w:pPr>
      <w:bookmarkStart w:id="7" w:name="_Toc17965412"/>
      <w:r>
        <w:rPr>
          <w:lang w:eastAsia="en-AU"/>
        </w:rPr>
        <w:t>Behaviour Support Plan (BSP)</w:t>
      </w:r>
      <w:bookmarkEnd w:id="7"/>
    </w:p>
    <w:p w:rsidR="006B30FB" w:rsidRPr="005F365A" w:rsidRDefault="006B30FB" w:rsidP="006B30FB">
      <w:r w:rsidRPr="005F365A">
        <w:t>A BSP is developed following a comprehensive assessment of the participant’s needs and should identify a range of evidence-based and person-centred, proactive strategies that focus on the specific needs of the participant and includes positive behaviour support to:</w:t>
      </w:r>
    </w:p>
    <w:p w:rsidR="006B30FB" w:rsidRPr="005F365A" w:rsidRDefault="006B30FB" w:rsidP="00744369">
      <w:pPr>
        <w:pStyle w:val="ListParagraph"/>
        <w:numPr>
          <w:ilvl w:val="0"/>
          <w:numId w:val="13"/>
        </w:numPr>
        <w:rPr>
          <w:lang w:eastAsia="en-AU"/>
        </w:rPr>
      </w:pPr>
      <w:r w:rsidRPr="005F365A">
        <w:rPr>
          <w:lang w:eastAsia="en-AU"/>
        </w:rPr>
        <w:t>build on the person’s strengths</w:t>
      </w:r>
      <w:r>
        <w:rPr>
          <w:lang w:eastAsia="en-AU"/>
        </w:rPr>
        <w:t>;</w:t>
      </w:r>
    </w:p>
    <w:p w:rsidR="006B30FB" w:rsidRPr="005F365A" w:rsidRDefault="006B30FB" w:rsidP="00744369">
      <w:pPr>
        <w:pStyle w:val="ListParagraph"/>
        <w:numPr>
          <w:ilvl w:val="0"/>
          <w:numId w:val="13"/>
        </w:numPr>
        <w:rPr>
          <w:lang w:eastAsia="en-AU"/>
        </w:rPr>
      </w:pPr>
      <w:r w:rsidRPr="005F365A">
        <w:rPr>
          <w:lang w:eastAsia="en-AU"/>
        </w:rPr>
        <w:t>increase the opportunities to participate in</w:t>
      </w:r>
      <w:r>
        <w:rPr>
          <w:lang w:eastAsia="en-AU"/>
        </w:rPr>
        <w:t xml:space="preserve"> community activities;</w:t>
      </w:r>
      <w:r w:rsidRPr="005F365A">
        <w:rPr>
          <w:lang w:eastAsia="en-AU"/>
        </w:rPr>
        <w:t xml:space="preserve"> and</w:t>
      </w:r>
    </w:p>
    <w:p w:rsidR="006B30FB" w:rsidRPr="005F365A" w:rsidRDefault="006B30FB" w:rsidP="00744369">
      <w:pPr>
        <w:pStyle w:val="ListParagraph"/>
        <w:numPr>
          <w:ilvl w:val="0"/>
          <w:numId w:val="13"/>
        </w:numPr>
        <w:rPr>
          <w:lang w:eastAsia="en-AU"/>
        </w:rPr>
      </w:pPr>
      <w:proofErr w:type="gramStart"/>
      <w:r w:rsidRPr="005F365A">
        <w:rPr>
          <w:lang w:eastAsia="en-AU"/>
        </w:rPr>
        <w:t>increase</w:t>
      </w:r>
      <w:proofErr w:type="gramEnd"/>
      <w:r w:rsidRPr="005F365A">
        <w:rPr>
          <w:lang w:eastAsia="en-AU"/>
        </w:rPr>
        <w:t xml:space="preserve"> their life skills.</w:t>
      </w:r>
    </w:p>
    <w:p w:rsidR="006B30FB" w:rsidRPr="005F365A" w:rsidRDefault="006B30FB" w:rsidP="006B30FB">
      <w:r w:rsidRPr="005F365A">
        <w:t>A BSP also details any use of restrictive practices that may be required.</w:t>
      </w:r>
    </w:p>
    <w:p w:rsidR="006B30FB" w:rsidRPr="005F365A" w:rsidRDefault="006B30FB" w:rsidP="006B30FB">
      <w:r w:rsidRPr="005F365A">
        <w:t>An NDIS BSP must be developed by an NDIS behaviour support practitioner in consultation with the participant, their family, carers, guardian, and other relevant people, as well as all service providers who will be implementing the BSP.</w:t>
      </w:r>
    </w:p>
    <w:p w:rsidR="006B30FB" w:rsidRPr="005F365A" w:rsidRDefault="006B30FB" w:rsidP="006B30FB">
      <w:r>
        <w:t>In the NT, for BSP</w:t>
      </w:r>
      <w:r w:rsidRPr="005F365A">
        <w:t xml:space="preserve">s that include restrictive practices, the use of the practice must meet the NDIS Commission </w:t>
      </w:r>
      <w:r>
        <w:t xml:space="preserve">requirements under the </w:t>
      </w:r>
      <w:r w:rsidRPr="005F365A">
        <w:rPr>
          <w:lang w:eastAsia="en-AU"/>
        </w:rPr>
        <w:t>National Disability Insurance Scheme (Restrictive Practices and Behaviour Support) Rules 2018</w:t>
      </w:r>
      <w:r>
        <w:rPr>
          <w:lang w:eastAsia="en-AU"/>
        </w:rPr>
        <w:t xml:space="preserve"> </w:t>
      </w:r>
      <w:r w:rsidRPr="005F365A">
        <w:t xml:space="preserve">and the </w:t>
      </w:r>
      <w:r>
        <w:t xml:space="preserve">Restrictive Practices Authorisation Framework (the Authorisation Framework) </w:t>
      </w:r>
      <w:r w:rsidRPr="005F365A">
        <w:t xml:space="preserve">outlined in the Act. </w:t>
      </w:r>
    </w:p>
    <w:p w:rsidR="006B30FB" w:rsidRPr="005F365A" w:rsidRDefault="006B30FB" w:rsidP="006B30FB">
      <w:r w:rsidRPr="00EC16D0">
        <w:t xml:space="preserve">When the BSP is completed, if it contains restrictive practices, the primary implementing service provider must obtain authorisation of the restrictive practice in accordance with the Act.  Once authorisation is obtained, the BSP, with evidence of authorisation, must be lodged with the NDIS Commission as per the NDIS Rules.  </w:t>
      </w:r>
    </w:p>
    <w:p w:rsidR="006B30FB" w:rsidRDefault="006B30FB" w:rsidP="006B30FB">
      <w:pPr>
        <w:pStyle w:val="Heading1"/>
        <w:rPr>
          <w:lang w:eastAsia="en-AU"/>
        </w:rPr>
      </w:pPr>
      <w:bookmarkStart w:id="8" w:name="_Toc17965413"/>
      <w:r>
        <w:rPr>
          <w:lang w:eastAsia="en-AU"/>
        </w:rPr>
        <w:t>Restrictive Practices Authorisation Framework</w:t>
      </w:r>
      <w:bookmarkEnd w:id="8"/>
    </w:p>
    <w:p w:rsidR="006B30FB" w:rsidRPr="005F365A" w:rsidRDefault="006B30FB" w:rsidP="006B30FB">
      <w:r w:rsidRPr="005F365A">
        <w:t xml:space="preserve">In the Northern Territory, the </w:t>
      </w:r>
      <w:r>
        <w:t>Restrictive Practices Authorisation Framework (</w:t>
      </w:r>
      <w:r w:rsidRPr="005F365A">
        <w:t>Authorisation Framework</w:t>
      </w:r>
      <w:r>
        <w:t>)</w:t>
      </w:r>
      <w:r w:rsidRPr="005F365A">
        <w:t xml:space="preserve"> will apply to adults and children who are NDIS participants and have a behaviour support plan (BSP) developed by a registered NDIS behaviour support practitioner. The request for authorisation can only be submitted by a registered NDIS service provider who will be implementing the BSP and associated restrictive practices. </w:t>
      </w:r>
    </w:p>
    <w:p w:rsidR="006B30FB" w:rsidRPr="005F365A" w:rsidRDefault="006B30FB" w:rsidP="006B30FB">
      <w:r w:rsidRPr="005F365A">
        <w:t>The Authorisation Framework includes:</w:t>
      </w:r>
    </w:p>
    <w:p w:rsidR="006B30FB" w:rsidRPr="005F365A" w:rsidRDefault="006B30FB" w:rsidP="00744369">
      <w:pPr>
        <w:pStyle w:val="ListParagraph"/>
        <w:numPr>
          <w:ilvl w:val="0"/>
          <w:numId w:val="14"/>
        </w:numPr>
      </w:pPr>
      <w:r w:rsidRPr="005F365A">
        <w:t>Principles</w:t>
      </w:r>
    </w:p>
    <w:p w:rsidR="006B30FB" w:rsidRPr="005F365A" w:rsidRDefault="006B30FB" w:rsidP="00744369">
      <w:pPr>
        <w:pStyle w:val="ListParagraph"/>
        <w:numPr>
          <w:ilvl w:val="0"/>
          <w:numId w:val="14"/>
        </w:numPr>
      </w:pPr>
      <w:r w:rsidRPr="005F365A">
        <w:t>Functions of the Senior Practitioner</w:t>
      </w:r>
    </w:p>
    <w:p w:rsidR="006B30FB" w:rsidRPr="005F365A" w:rsidRDefault="006B30FB" w:rsidP="00744369">
      <w:pPr>
        <w:pStyle w:val="ListParagraph"/>
        <w:numPr>
          <w:ilvl w:val="0"/>
          <w:numId w:val="14"/>
        </w:numPr>
      </w:pPr>
      <w:r w:rsidRPr="005F365A">
        <w:t>Types of authorisation</w:t>
      </w:r>
    </w:p>
    <w:p w:rsidR="006B30FB" w:rsidRPr="005F365A" w:rsidRDefault="006B30FB" w:rsidP="00744369">
      <w:pPr>
        <w:pStyle w:val="ListParagraph"/>
        <w:numPr>
          <w:ilvl w:val="0"/>
          <w:numId w:val="14"/>
        </w:numPr>
      </w:pPr>
      <w:r w:rsidRPr="005F365A">
        <w:t>Authorisation process</w:t>
      </w:r>
    </w:p>
    <w:p w:rsidR="006B30FB" w:rsidRPr="005F365A" w:rsidRDefault="006B30FB" w:rsidP="00744369">
      <w:pPr>
        <w:pStyle w:val="ListParagraph"/>
        <w:numPr>
          <w:ilvl w:val="0"/>
          <w:numId w:val="14"/>
        </w:numPr>
      </w:pPr>
      <w:r w:rsidRPr="005F365A">
        <w:lastRenderedPageBreak/>
        <w:t>Period of authorisation</w:t>
      </w:r>
    </w:p>
    <w:p w:rsidR="006B30FB" w:rsidRPr="005F365A" w:rsidRDefault="006B30FB" w:rsidP="00744369">
      <w:pPr>
        <w:pStyle w:val="ListParagraph"/>
        <w:numPr>
          <w:ilvl w:val="0"/>
          <w:numId w:val="14"/>
        </w:numPr>
      </w:pPr>
      <w:r w:rsidRPr="005F365A">
        <w:t>Revocation of authorisation</w:t>
      </w:r>
    </w:p>
    <w:p w:rsidR="006B30FB" w:rsidRPr="005F365A" w:rsidRDefault="006B30FB" w:rsidP="00744369">
      <w:pPr>
        <w:pStyle w:val="ListParagraph"/>
        <w:numPr>
          <w:ilvl w:val="0"/>
          <w:numId w:val="14"/>
        </w:numPr>
      </w:pPr>
      <w:r w:rsidRPr="005F365A">
        <w:t>Review of authorisation decisions</w:t>
      </w:r>
    </w:p>
    <w:p w:rsidR="006B30FB" w:rsidRDefault="006B30FB" w:rsidP="006B30FB">
      <w:pPr>
        <w:rPr>
          <w:lang w:eastAsia="en-AU"/>
        </w:rPr>
      </w:pPr>
    </w:p>
    <w:p w:rsidR="006B30FB" w:rsidRDefault="006B30FB" w:rsidP="006B30FB">
      <w:pPr>
        <w:pStyle w:val="Heading2"/>
        <w:rPr>
          <w:lang w:eastAsia="en-AU"/>
        </w:rPr>
      </w:pPr>
      <w:bookmarkStart w:id="9" w:name="_Toc17965414"/>
      <w:r>
        <w:rPr>
          <w:lang w:eastAsia="en-AU"/>
        </w:rPr>
        <w:t>Principles</w:t>
      </w:r>
      <w:bookmarkEnd w:id="9"/>
    </w:p>
    <w:p w:rsidR="006B30FB" w:rsidRPr="00197FBD" w:rsidRDefault="006B30FB" w:rsidP="006B30FB">
      <w:r w:rsidRPr="00197FBD">
        <w:t xml:space="preserve">The principles of the Act are aligned with the United Nations Convention on the Rights of Persons with Disabilities, </w:t>
      </w:r>
      <w:r>
        <w:t xml:space="preserve">Northern Territory </w:t>
      </w:r>
      <w:r w:rsidRPr="00197FBD">
        <w:t xml:space="preserve">Disability Services Act 1993, National Disability Insurance Scheme Act and the National Framework for Reducing and </w:t>
      </w:r>
      <w:proofErr w:type="gramStart"/>
      <w:r w:rsidRPr="00197FBD">
        <w:t>Eliminating</w:t>
      </w:r>
      <w:proofErr w:type="gramEnd"/>
      <w:r w:rsidRPr="00197FBD">
        <w:t xml:space="preserve"> the use of Restrictive Practices in the Disability Service Sector.</w:t>
      </w:r>
    </w:p>
    <w:p w:rsidR="006B30FB" w:rsidRPr="00197FBD" w:rsidRDefault="006B30FB" w:rsidP="006B30FB">
      <w:r w:rsidRPr="00197FBD">
        <w:t>The principles which must be taken into consideration by NDIS service providers when delivering services to participants with behaviour that has the potential to cause harm to themselves or others are that:</w:t>
      </w:r>
    </w:p>
    <w:p w:rsidR="006B30FB" w:rsidRPr="006B30FB" w:rsidRDefault="006B30FB" w:rsidP="00744369">
      <w:pPr>
        <w:pStyle w:val="ListParagraph"/>
        <w:numPr>
          <w:ilvl w:val="0"/>
          <w:numId w:val="15"/>
        </w:numPr>
      </w:pPr>
      <w:r w:rsidRPr="006B30FB">
        <w:t>participants are individuals who have the inherent right to respect for their human worth and dignity; and</w:t>
      </w:r>
    </w:p>
    <w:p w:rsidR="006B30FB" w:rsidRPr="006B30FB" w:rsidRDefault="006B30FB" w:rsidP="00744369">
      <w:pPr>
        <w:pStyle w:val="ListParagraph"/>
        <w:numPr>
          <w:ilvl w:val="0"/>
          <w:numId w:val="15"/>
        </w:numPr>
      </w:pPr>
      <w:r w:rsidRPr="006B30FB">
        <w:t>participants, whatever the origin of the participant's disability, nature, type and degree of disability, have the same basic human rights as other members of Australian society; and</w:t>
      </w:r>
    </w:p>
    <w:p w:rsidR="006B30FB" w:rsidRDefault="006B30FB" w:rsidP="00744369">
      <w:pPr>
        <w:pStyle w:val="ListParagraph"/>
        <w:numPr>
          <w:ilvl w:val="0"/>
          <w:numId w:val="15"/>
        </w:numPr>
      </w:pPr>
      <w:r w:rsidRPr="006B30FB">
        <w:t>participants have the same rights as other members of Australian society to realise their individual capacities for physical, social, emotional and intellectual development; and</w:t>
      </w:r>
    </w:p>
    <w:p w:rsidR="006B30FB" w:rsidRPr="006B30FB" w:rsidRDefault="006B30FB" w:rsidP="00744369">
      <w:pPr>
        <w:pStyle w:val="ListParagraph"/>
        <w:numPr>
          <w:ilvl w:val="0"/>
          <w:numId w:val="15"/>
        </w:numPr>
        <w:spacing w:before="240" w:after="60"/>
      </w:pPr>
      <w:r w:rsidRPr="006B30FB">
        <w:t>participants have the same right as other members of Australian society to services that will support their attaining a reasonable quality of life; and</w:t>
      </w:r>
    </w:p>
    <w:p w:rsidR="006B30FB" w:rsidRPr="006B30FB" w:rsidRDefault="006B30FB" w:rsidP="00744369">
      <w:pPr>
        <w:pStyle w:val="ListParagraph"/>
        <w:numPr>
          <w:ilvl w:val="0"/>
          <w:numId w:val="15"/>
        </w:numPr>
        <w:spacing w:before="240" w:after="60"/>
      </w:pPr>
      <w:r w:rsidRPr="006B30FB">
        <w:t>participants and their families have the same right as other members of Australian society to participate in decisions that affect their lives; and</w:t>
      </w:r>
    </w:p>
    <w:p w:rsidR="006B30FB" w:rsidRPr="006B30FB" w:rsidRDefault="006B30FB" w:rsidP="00744369">
      <w:pPr>
        <w:pStyle w:val="ListParagraph"/>
        <w:numPr>
          <w:ilvl w:val="0"/>
          <w:numId w:val="15"/>
        </w:numPr>
        <w:spacing w:before="240" w:after="60"/>
      </w:pPr>
      <w:r w:rsidRPr="006B30FB">
        <w:t>participants receiving services have the same right as other members of Australian society to be able to determine their own best interests in relation to those services, including the right to exercise choice and control; and</w:t>
      </w:r>
    </w:p>
    <w:p w:rsidR="006B30FB" w:rsidRPr="006B30FB" w:rsidRDefault="006B30FB" w:rsidP="00744369">
      <w:pPr>
        <w:pStyle w:val="ListParagraph"/>
        <w:numPr>
          <w:ilvl w:val="0"/>
          <w:numId w:val="15"/>
        </w:numPr>
        <w:spacing w:before="240" w:after="60"/>
      </w:pPr>
      <w:r w:rsidRPr="006B30FB">
        <w:t>participants have the same right as other members of Australian society to be connected to family, community, culture and country; and</w:t>
      </w:r>
    </w:p>
    <w:p w:rsidR="006B30FB" w:rsidRPr="006B30FB" w:rsidRDefault="006B30FB" w:rsidP="00744369">
      <w:pPr>
        <w:pStyle w:val="ListParagraph"/>
        <w:numPr>
          <w:ilvl w:val="0"/>
          <w:numId w:val="15"/>
        </w:numPr>
        <w:spacing w:before="240" w:after="60"/>
      </w:pPr>
      <w:r w:rsidRPr="006B30FB">
        <w:t>participants have the same right as other members of Australian society to engage as equals and actively participate in decisions that will affect their lives, support and care to the full extent of their capacity, including in the provision of behaviour support; and</w:t>
      </w:r>
    </w:p>
    <w:p w:rsidR="006B30FB" w:rsidRPr="006B30FB" w:rsidRDefault="006B30FB" w:rsidP="00744369">
      <w:pPr>
        <w:pStyle w:val="ListParagraph"/>
        <w:numPr>
          <w:ilvl w:val="0"/>
          <w:numId w:val="15"/>
        </w:numPr>
        <w:spacing w:before="240" w:after="60"/>
      </w:pPr>
      <w:r w:rsidRPr="006B30FB">
        <w:t>participants receiving services have the same right as other members of Australian society to receive those services in a manner that results in the least restriction of their rights and opportunities; and</w:t>
      </w:r>
    </w:p>
    <w:p w:rsidR="006B30FB" w:rsidRPr="006B30FB" w:rsidRDefault="006B30FB" w:rsidP="00744369">
      <w:pPr>
        <w:pStyle w:val="ListParagraph"/>
        <w:numPr>
          <w:ilvl w:val="0"/>
          <w:numId w:val="15"/>
        </w:numPr>
        <w:spacing w:before="240" w:after="60"/>
      </w:pPr>
      <w:proofErr w:type="gramStart"/>
      <w:r w:rsidRPr="006B30FB">
        <w:t>participants</w:t>
      </w:r>
      <w:proofErr w:type="gramEnd"/>
      <w:r w:rsidRPr="006B30FB">
        <w:t xml:space="preserve"> receiving services should actively participate in decisions about their lives, support and care including behaviour support that is informed by evidenced-based best practice.</w:t>
      </w:r>
    </w:p>
    <w:p w:rsidR="006B30FB" w:rsidRDefault="006B30FB" w:rsidP="006B30FB"/>
    <w:p w:rsidR="006B30FB" w:rsidRPr="00197FBD" w:rsidRDefault="006B30FB" w:rsidP="006B30FB">
      <w:r w:rsidRPr="00197FBD">
        <w:t>Services must be provided in a way that:</w:t>
      </w:r>
    </w:p>
    <w:p w:rsidR="006B30FB" w:rsidRPr="006B30FB" w:rsidRDefault="006B30FB" w:rsidP="00744369">
      <w:pPr>
        <w:pStyle w:val="ListParagraph"/>
        <w:numPr>
          <w:ilvl w:val="0"/>
          <w:numId w:val="17"/>
        </w:numPr>
        <w:spacing w:before="240" w:after="60"/>
      </w:pPr>
      <w:r w:rsidRPr="006B30FB">
        <w:t>aims to reduce or eliminate the need to use restrictive practices; and</w:t>
      </w:r>
    </w:p>
    <w:p w:rsidR="006B30FB" w:rsidRPr="006B30FB" w:rsidRDefault="006B30FB" w:rsidP="00744369">
      <w:pPr>
        <w:pStyle w:val="ListParagraph"/>
        <w:numPr>
          <w:ilvl w:val="0"/>
          <w:numId w:val="17"/>
        </w:numPr>
        <w:spacing w:before="240" w:after="60"/>
      </w:pPr>
      <w:r w:rsidRPr="006B30FB">
        <w:lastRenderedPageBreak/>
        <w:t>recognises that:</w:t>
      </w:r>
    </w:p>
    <w:p w:rsidR="006B30FB" w:rsidRPr="006B30FB" w:rsidRDefault="006B30FB" w:rsidP="00744369">
      <w:pPr>
        <w:pStyle w:val="ListParagraph"/>
        <w:numPr>
          <w:ilvl w:val="1"/>
          <w:numId w:val="16"/>
        </w:numPr>
        <w:spacing w:before="240" w:after="60"/>
      </w:pPr>
      <w:r w:rsidRPr="006B30FB">
        <w:t>restrictive practices should occur in limited and specific circumstances; and</w:t>
      </w:r>
    </w:p>
    <w:p w:rsidR="006B30FB" w:rsidRPr="006B30FB" w:rsidRDefault="006B30FB" w:rsidP="00744369">
      <w:pPr>
        <w:pStyle w:val="ListParagraph"/>
        <w:numPr>
          <w:ilvl w:val="1"/>
          <w:numId w:val="16"/>
        </w:numPr>
        <w:spacing w:before="240" w:after="60"/>
      </w:pPr>
      <w:r w:rsidRPr="006B30FB">
        <w:t>restrictive practices should be used as a last resort; and</w:t>
      </w:r>
    </w:p>
    <w:p w:rsidR="006B30FB" w:rsidRPr="006B30FB" w:rsidRDefault="006B30FB" w:rsidP="00744369">
      <w:pPr>
        <w:pStyle w:val="ListParagraph"/>
        <w:numPr>
          <w:ilvl w:val="0"/>
          <w:numId w:val="17"/>
        </w:numPr>
        <w:spacing w:before="240" w:after="60"/>
      </w:pPr>
      <w:r w:rsidRPr="006B30FB">
        <w:t>utilises the least restrictive practice for the shortest period of time practical in the circumstances; and</w:t>
      </w:r>
    </w:p>
    <w:p w:rsidR="006B30FB" w:rsidRPr="006B30FB" w:rsidRDefault="006B30FB" w:rsidP="00744369">
      <w:pPr>
        <w:pStyle w:val="ListParagraph"/>
        <w:numPr>
          <w:ilvl w:val="0"/>
          <w:numId w:val="17"/>
        </w:numPr>
        <w:spacing w:before="240" w:after="60"/>
      </w:pPr>
      <w:r w:rsidRPr="006B30FB">
        <w:t>ensures transparency and accountability in the use of restrictive practices; and</w:t>
      </w:r>
    </w:p>
    <w:p w:rsidR="006B30FB" w:rsidRPr="006B30FB" w:rsidRDefault="006B30FB" w:rsidP="00744369">
      <w:pPr>
        <w:pStyle w:val="ListParagraph"/>
        <w:numPr>
          <w:ilvl w:val="0"/>
          <w:numId w:val="17"/>
        </w:numPr>
        <w:spacing w:before="240" w:after="60"/>
      </w:pPr>
      <w:r w:rsidRPr="006B30FB">
        <w:t>recognises that restrictive practices should not be used punitively or in response to behaviour that does not cause harm to the participant or others; and</w:t>
      </w:r>
    </w:p>
    <w:p w:rsidR="006B30FB" w:rsidRPr="006B30FB" w:rsidRDefault="006B30FB" w:rsidP="00744369">
      <w:pPr>
        <w:pStyle w:val="ListParagraph"/>
        <w:numPr>
          <w:ilvl w:val="0"/>
          <w:numId w:val="17"/>
        </w:numPr>
        <w:spacing w:before="240" w:after="60"/>
      </w:pPr>
      <w:proofErr w:type="gramStart"/>
      <w:r w:rsidRPr="006B30FB">
        <w:t>ensures</w:t>
      </w:r>
      <w:proofErr w:type="gramEnd"/>
      <w:r w:rsidRPr="006B30FB">
        <w:t xml:space="preserve"> that any restrictive practices are only used in a way that is consistent with a behaviour support plan or an interim behaviour support plan for the participant.</w:t>
      </w:r>
    </w:p>
    <w:p w:rsidR="006B30FB" w:rsidRPr="006B30FB" w:rsidRDefault="006B30FB" w:rsidP="006B30FB">
      <w:pPr>
        <w:pStyle w:val="ListParagraph"/>
        <w:ind w:left="720"/>
      </w:pPr>
    </w:p>
    <w:p w:rsidR="006B30FB" w:rsidRDefault="006B30FB" w:rsidP="006B30FB">
      <w:pPr>
        <w:pStyle w:val="Heading2"/>
        <w:rPr>
          <w:lang w:eastAsia="en-AU"/>
        </w:rPr>
      </w:pPr>
      <w:bookmarkStart w:id="10" w:name="_Toc17965415"/>
      <w:r>
        <w:rPr>
          <w:lang w:eastAsia="en-AU"/>
        </w:rPr>
        <w:t>Functions of the Senior Practitioner</w:t>
      </w:r>
      <w:bookmarkEnd w:id="10"/>
    </w:p>
    <w:p w:rsidR="006B30FB" w:rsidRPr="00197FBD" w:rsidRDefault="006B30FB" w:rsidP="006B30FB">
      <w:r w:rsidRPr="00197FBD">
        <w:t>The Senior Practitioner will be responsible for the oversight of the Restrictive Practices Authorisation Framework. The Act outlines the functions of the Senior Practitioner.  The Senior Practitioner will:</w:t>
      </w:r>
    </w:p>
    <w:p w:rsidR="006B30FB" w:rsidRPr="00197FBD" w:rsidRDefault="006B30FB" w:rsidP="00744369">
      <w:pPr>
        <w:pStyle w:val="ListParagraph"/>
        <w:numPr>
          <w:ilvl w:val="0"/>
          <w:numId w:val="18"/>
        </w:numPr>
      </w:pPr>
      <w:r w:rsidRPr="00197FBD">
        <w:t>Authorise the use of restrictive practices</w:t>
      </w:r>
      <w:r>
        <w:t>;</w:t>
      </w:r>
    </w:p>
    <w:p w:rsidR="006B30FB" w:rsidRPr="00197FBD" w:rsidRDefault="006B30FB" w:rsidP="00744369">
      <w:pPr>
        <w:pStyle w:val="ListParagraph"/>
        <w:numPr>
          <w:ilvl w:val="0"/>
          <w:numId w:val="18"/>
        </w:numPr>
      </w:pPr>
      <w:r w:rsidRPr="00197FBD">
        <w:t>Disallow inappropriate requests for restrictive practices</w:t>
      </w:r>
      <w:r>
        <w:t>;</w:t>
      </w:r>
    </w:p>
    <w:p w:rsidR="006B30FB" w:rsidRPr="00197FBD" w:rsidRDefault="006B30FB" w:rsidP="00744369">
      <w:pPr>
        <w:pStyle w:val="ListParagraph"/>
        <w:numPr>
          <w:ilvl w:val="0"/>
          <w:numId w:val="18"/>
        </w:numPr>
      </w:pPr>
      <w:r w:rsidRPr="00197FBD">
        <w:t>Produce and disseminate policies, standard and guidelines to promote best practice, lead sector capacity building and improve awareness to minimise t</w:t>
      </w:r>
      <w:r>
        <w:t>he use of restrictive practices;</w:t>
      </w:r>
      <w:r w:rsidRPr="00197FBD">
        <w:t xml:space="preserve"> and</w:t>
      </w:r>
    </w:p>
    <w:p w:rsidR="006B30FB" w:rsidRPr="00197FBD" w:rsidRDefault="006B30FB" w:rsidP="00744369">
      <w:pPr>
        <w:pStyle w:val="ListParagraph"/>
        <w:numPr>
          <w:ilvl w:val="0"/>
          <w:numId w:val="18"/>
        </w:numPr>
      </w:pPr>
      <w:r w:rsidRPr="00197FBD">
        <w:t>Capture and record the authorisation of restrictive practices that are deemed to be necessary.</w:t>
      </w:r>
    </w:p>
    <w:p w:rsidR="006B30FB" w:rsidRDefault="006B30FB" w:rsidP="006B30FB">
      <w:pPr>
        <w:rPr>
          <w:lang w:eastAsia="en-AU"/>
        </w:rPr>
      </w:pPr>
    </w:p>
    <w:p w:rsidR="006B30FB" w:rsidRDefault="006B30FB" w:rsidP="006B30FB">
      <w:pPr>
        <w:pStyle w:val="Heading2"/>
        <w:rPr>
          <w:lang w:eastAsia="en-AU"/>
        </w:rPr>
      </w:pPr>
      <w:bookmarkStart w:id="11" w:name="_Toc17965416"/>
      <w:r>
        <w:rPr>
          <w:lang w:eastAsia="en-AU"/>
        </w:rPr>
        <w:t>Types of authorisation</w:t>
      </w:r>
      <w:bookmarkEnd w:id="11"/>
    </w:p>
    <w:p w:rsidR="00CC26FB" w:rsidRPr="00197FBD" w:rsidRDefault="00CC26FB" w:rsidP="00CC26FB">
      <w:r w:rsidRPr="00197FBD">
        <w:t>The Authorisation Framework provides for two types of authorisation.</w:t>
      </w:r>
    </w:p>
    <w:p w:rsidR="00CC26FB" w:rsidRPr="00CC26FB" w:rsidRDefault="00CC26FB" w:rsidP="00744369">
      <w:pPr>
        <w:pStyle w:val="ListParagraph"/>
        <w:numPr>
          <w:ilvl w:val="0"/>
          <w:numId w:val="19"/>
        </w:numPr>
      </w:pPr>
      <w:r w:rsidRPr="00CC26FB">
        <w:t xml:space="preserve">An </w:t>
      </w:r>
      <w:r w:rsidRPr="00CC26FB">
        <w:rPr>
          <w:b/>
        </w:rPr>
        <w:t>interim authorisation</w:t>
      </w:r>
      <w:r w:rsidRPr="00CC26FB">
        <w:t xml:space="preserve"> is provided when a participant has an interim BSP that includes the use of a restrictive practice.  An interim BSP must be developed by a registered NDIS behaviour support practitioner. An interim authorisation is effective for six months. An interim authorisation may be appropriate after a critical incident or where an NDIS service provider first identifies the need for a restrictive practice as part of a participant’s BSP.  </w:t>
      </w:r>
    </w:p>
    <w:p w:rsidR="00CC26FB" w:rsidRPr="00CC26FB" w:rsidRDefault="00CC26FB" w:rsidP="00CC26FB">
      <w:pPr>
        <w:pStyle w:val="ListParagraph"/>
      </w:pPr>
    </w:p>
    <w:p w:rsidR="00CC26FB" w:rsidRPr="00CC26FB" w:rsidRDefault="00CC26FB" w:rsidP="00744369">
      <w:pPr>
        <w:pStyle w:val="ListParagraph"/>
        <w:numPr>
          <w:ilvl w:val="0"/>
          <w:numId w:val="19"/>
        </w:numPr>
      </w:pPr>
      <w:r w:rsidRPr="00CC26FB">
        <w:rPr>
          <w:b/>
        </w:rPr>
        <w:t>Authorisation</w:t>
      </w:r>
      <w:r w:rsidRPr="00CC26FB">
        <w:t xml:space="preserve"> is provided when a participant has a comprehensive BSP that includes the use of a restrictive practice.  An authorisation is effective for 12 months.  A comprehensive BSP must be developed by a registered NDIS behaviour support practitioner after undertaking functional behaviour assessments and other assessments as required.</w:t>
      </w:r>
    </w:p>
    <w:p w:rsidR="006B30FB" w:rsidRDefault="006B30FB" w:rsidP="006B30FB">
      <w:pPr>
        <w:rPr>
          <w:lang w:eastAsia="en-AU"/>
        </w:rPr>
      </w:pPr>
    </w:p>
    <w:p w:rsidR="00CC26FB" w:rsidRDefault="00CC26FB" w:rsidP="006B30FB">
      <w:pPr>
        <w:rPr>
          <w:lang w:eastAsia="en-AU"/>
        </w:rPr>
      </w:pPr>
    </w:p>
    <w:p w:rsidR="00CC26FB" w:rsidRDefault="00CC26FB" w:rsidP="006B30FB">
      <w:pPr>
        <w:rPr>
          <w:lang w:eastAsia="en-AU"/>
        </w:rPr>
      </w:pPr>
    </w:p>
    <w:p w:rsidR="00CC26FB" w:rsidRDefault="00CC26FB" w:rsidP="00CC26FB">
      <w:pPr>
        <w:pStyle w:val="Heading1"/>
        <w:rPr>
          <w:lang w:eastAsia="en-AU"/>
        </w:rPr>
      </w:pPr>
      <w:bookmarkStart w:id="12" w:name="_Toc17965417"/>
      <w:r>
        <w:rPr>
          <w:lang w:eastAsia="en-AU"/>
        </w:rPr>
        <w:lastRenderedPageBreak/>
        <w:t>Authorisation process</w:t>
      </w:r>
      <w:bookmarkEnd w:id="12"/>
    </w:p>
    <w:p w:rsidR="00CC26FB" w:rsidRDefault="00CC26FB" w:rsidP="00CC26FB">
      <w:pPr>
        <w:rPr>
          <w:lang w:eastAsia="en-AU"/>
        </w:rPr>
      </w:pPr>
      <w:r>
        <w:rPr>
          <w:noProof/>
          <w:lang w:eastAsia="en-AU"/>
        </w:rPr>
        <w:drawing>
          <wp:inline distT="0" distB="0" distL="0" distR="0" wp14:anchorId="66A58975" wp14:editId="6375B93B">
            <wp:extent cx="6286500" cy="8323282"/>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88824" cy="8326359"/>
                    </a:xfrm>
                    <a:prstGeom prst="rect">
                      <a:avLst/>
                    </a:prstGeom>
                  </pic:spPr>
                </pic:pic>
              </a:graphicData>
            </a:graphic>
          </wp:inline>
        </w:drawing>
      </w:r>
    </w:p>
    <w:p w:rsidR="00CC26FB" w:rsidRDefault="00CC26FB" w:rsidP="00CC26FB">
      <w:pPr>
        <w:pStyle w:val="Heading2"/>
        <w:rPr>
          <w:lang w:eastAsia="en-AU"/>
        </w:rPr>
      </w:pPr>
      <w:bookmarkStart w:id="13" w:name="_Toc17965418"/>
      <w:r>
        <w:rPr>
          <w:lang w:eastAsia="en-AU"/>
        </w:rPr>
        <w:lastRenderedPageBreak/>
        <w:t>Application of authorisation</w:t>
      </w:r>
      <w:bookmarkEnd w:id="13"/>
    </w:p>
    <w:p w:rsidR="00CC26FB" w:rsidRPr="00CF3563" w:rsidRDefault="00CC26FB" w:rsidP="00CC26FB">
      <w:pPr>
        <w:rPr>
          <w:lang w:eastAsia="en-AU"/>
        </w:rPr>
      </w:pPr>
      <w:r w:rsidRPr="00CF3563">
        <w:rPr>
          <w:lang w:eastAsia="en-AU"/>
        </w:rPr>
        <w:t>Registered NDIS service</w:t>
      </w:r>
      <w:r>
        <w:rPr>
          <w:lang w:eastAsia="en-AU"/>
        </w:rPr>
        <w:t xml:space="preserve"> providers</w:t>
      </w:r>
      <w:r w:rsidRPr="00CF3563">
        <w:rPr>
          <w:lang w:eastAsia="en-AU"/>
        </w:rPr>
        <w:t xml:space="preserve"> must first submit an application for authorisation for the use of a restrictive pract</w:t>
      </w:r>
      <w:r>
        <w:rPr>
          <w:lang w:eastAsia="en-AU"/>
        </w:rPr>
        <w:t>ice to the Senior Practitioner o</w:t>
      </w:r>
      <w:r w:rsidRPr="00CF3563">
        <w:rPr>
          <w:lang w:eastAsia="en-AU"/>
        </w:rPr>
        <w:t>n an approved form (</w:t>
      </w:r>
      <w:r>
        <w:rPr>
          <w:lang w:eastAsia="en-AU"/>
        </w:rPr>
        <w:t>RPA-1</w:t>
      </w:r>
      <w:r w:rsidRPr="00CF3563">
        <w:rPr>
          <w:lang w:eastAsia="en-AU"/>
        </w:rPr>
        <w:t>).</w:t>
      </w:r>
    </w:p>
    <w:p w:rsidR="00CC26FB" w:rsidRPr="00CF3563" w:rsidRDefault="00CC26FB" w:rsidP="00CC26FB">
      <w:pPr>
        <w:rPr>
          <w:lang w:eastAsia="en-AU"/>
        </w:rPr>
      </w:pPr>
      <w:r w:rsidRPr="00CF3563">
        <w:rPr>
          <w:lang w:eastAsia="en-AU"/>
        </w:rPr>
        <w:t>The application for authorisation must include the following:</w:t>
      </w:r>
    </w:p>
    <w:p w:rsidR="00CC26FB" w:rsidRPr="00CF3563" w:rsidRDefault="00CC26FB" w:rsidP="00744369">
      <w:pPr>
        <w:pStyle w:val="ListParagraph"/>
        <w:numPr>
          <w:ilvl w:val="0"/>
          <w:numId w:val="20"/>
        </w:numPr>
        <w:rPr>
          <w:lang w:eastAsia="en-AU"/>
        </w:rPr>
      </w:pPr>
      <w:r w:rsidRPr="00CF3563">
        <w:rPr>
          <w:lang w:eastAsia="en-AU"/>
        </w:rPr>
        <w:t>Particulars of the restrictive practice proposed to be applied to the participant;</w:t>
      </w:r>
    </w:p>
    <w:p w:rsidR="00CC26FB" w:rsidRPr="00CF3563" w:rsidRDefault="00CC26FB" w:rsidP="00744369">
      <w:pPr>
        <w:pStyle w:val="ListParagraph"/>
        <w:numPr>
          <w:ilvl w:val="0"/>
          <w:numId w:val="20"/>
        </w:numPr>
        <w:rPr>
          <w:lang w:eastAsia="en-AU"/>
        </w:rPr>
      </w:pPr>
      <w:r w:rsidRPr="00CF3563">
        <w:rPr>
          <w:lang w:eastAsia="en-AU"/>
        </w:rPr>
        <w:t>A copy of the NDIS BSP (interim or comprehensive) that specifies the proposed restrictive practice;</w:t>
      </w:r>
    </w:p>
    <w:p w:rsidR="00CC26FB" w:rsidRPr="00CF3563" w:rsidRDefault="00CC26FB" w:rsidP="00744369">
      <w:pPr>
        <w:pStyle w:val="ListParagraph"/>
        <w:numPr>
          <w:ilvl w:val="0"/>
          <w:numId w:val="20"/>
        </w:numPr>
        <w:rPr>
          <w:lang w:eastAsia="en-AU"/>
        </w:rPr>
      </w:pPr>
      <w:r w:rsidRPr="00CF3563">
        <w:rPr>
          <w:lang w:eastAsia="en-AU"/>
        </w:rPr>
        <w:t>Evidence of consultation with the participant, their family, carers, guardian or other relevant person</w:t>
      </w:r>
      <w:r>
        <w:rPr>
          <w:lang w:eastAsia="en-AU"/>
        </w:rPr>
        <w:t>/s</w:t>
      </w:r>
      <w:r w:rsidRPr="00CF3563">
        <w:rPr>
          <w:lang w:eastAsia="en-AU"/>
        </w:rPr>
        <w:t xml:space="preserve"> about the use of restricted practices as a component of their BSP;</w:t>
      </w:r>
    </w:p>
    <w:p w:rsidR="00CC26FB" w:rsidRPr="00CF3563" w:rsidRDefault="00CC26FB" w:rsidP="00744369">
      <w:pPr>
        <w:pStyle w:val="ListParagraph"/>
        <w:numPr>
          <w:ilvl w:val="0"/>
          <w:numId w:val="20"/>
        </w:numPr>
        <w:rPr>
          <w:lang w:eastAsia="en-AU"/>
        </w:rPr>
      </w:pPr>
      <w:r w:rsidRPr="00CF3563">
        <w:rPr>
          <w:lang w:eastAsia="en-AU"/>
        </w:rPr>
        <w:t>Particulars of the NDIS service providers who will apply the restrictive practice to the participant;</w:t>
      </w:r>
    </w:p>
    <w:p w:rsidR="00CC26FB" w:rsidRPr="00CF3563" w:rsidRDefault="00CC26FB" w:rsidP="00744369">
      <w:pPr>
        <w:pStyle w:val="ListParagraph"/>
        <w:numPr>
          <w:ilvl w:val="0"/>
          <w:numId w:val="20"/>
        </w:numPr>
        <w:rPr>
          <w:lang w:eastAsia="en-AU"/>
        </w:rPr>
      </w:pPr>
      <w:r w:rsidRPr="00CF3563">
        <w:rPr>
          <w:lang w:eastAsia="en-AU"/>
        </w:rPr>
        <w:t xml:space="preserve">A summary of every restrictive practice(s) applied (both authorised and unauthorised) from the date of application and the preceding 12 months. </w:t>
      </w:r>
    </w:p>
    <w:p w:rsidR="00CC26FB" w:rsidRPr="00CF3563" w:rsidRDefault="00CC26FB" w:rsidP="00744369">
      <w:pPr>
        <w:pStyle w:val="ListParagraph"/>
        <w:numPr>
          <w:ilvl w:val="0"/>
          <w:numId w:val="20"/>
        </w:numPr>
        <w:rPr>
          <w:lang w:eastAsia="en-AU"/>
        </w:rPr>
      </w:pPr>
      <w:r w:rsidRPr="00CF3563">
        <w:rPr>
          <w:lang w:eastAsia="en-AU"/>
        </w:rPr>
        <w:t>Any other information the NDIS service provider considers relevant to the application, such as reportable incidents relevant to the application.</w:t>
      </w:r>
    </w:p>
    <w:p w:rsidR="00CC26FB" w:rsidRDefault="00CC26FB" w:rsidP="00CC26FB">
      <w:pPr>
        <w:rPr>
          <w:lang w:eastAsia="en-AU"/>
        </w:rPr>
      </w:pPr>
      <w:r w:rsidRPr="00CF3563">
        <w:rPr>
          <w:lang w:eastAsia="en-AU"/>
        </w:rPr>
        <w:t xml:space="preserve">The application is submitted electronically to the Restrictive Practices Authorisations Unit </w:t>
      </w:r>
      <w:r>
        <w:rPr>
          <w:lang w:eastAsia="en-AU"/>
        </w:rPr>
        <w:t>in the Department of Health</w:t>
      </w:r>
      <w:r w:rsidRPr="00CF3563">
        <w:rPr>
          <w:lang w:eastAsia="en-AU"/>
        </w:rPr>
        <w:t>.</w:t>
      </w:r>
    </w:p>
    <w:p w:rsidR="00CC26FB" w:rsidRDefault="00CC26FB" w:rsidP="00CC26FB">
      <w:pPr>
        <w:pStyle w:val="Heading2"/>
        <w:rPr>
          <w:lang w:eastAsia="en-AU"/>
        </w:rPr>
      </w:pPr>
      <w:bookmarkStart w:id="14" w:name="_Toc17965419"/>
      <w:r>
        <w:rPr>
          <w:lang w:eastAsia="en-AU"/>
        </w:rPr>
        <w:t>Assessment of applications</w:t>
      </w:r>
      <w:bookmarkEnd w:id="14"/>
    </w:p>
    <w:p w:rsidR="00CC26FB" w:rsidRPr="00CF3563" w:rsidRDefault="00CC26FB" w:rsidP="00CC26FB">
      <w:pPr>
        <w:rPr>
          <w:lang w:eastAsia="en-AU"/>
        </w:rPr>
      </w:pPr>
      <w:r w:rsidRPr="00CF3563">
        <w:rPr>
          <w:lang w:eastAsia="en-AU"/>
        </w:rPr>
        <w:t>The assessment of the application will be undertaken by the Senior Practitioner.  The Senior Practitioner will assess the quality of the BSP using the Behaviour Support Plan Quality Evaluation Tool version II (BSPQEII) and will also consider the following:</w:t>
      </w:r>
    </w:p>
    <w:p w:rsidR="00CC26FB" w:rsidRPr="00CF3563" w:rsidRDefault="00CC26FB" w:rsidP="00744369">
      <w:pPr>
        <w:pStyle w:val="ListParagraph"/>
        <w:numPr>
          <w:ilvl w:val="0"/>
          <w:numId w:val="21"/>
        </w:numPr>
        <w:rPr>
          <w:lang w:eastAsia="en-AU"/>
        </w:rPr>
      </w:pPr>
      <w:r w:rsidRPr="00CF3563">
        <w:rPr>
          <w:lang w:eastAsia="en-AU"/>
        </w:rPr>
        <w:t>BSP</w:t>
      </w:r>
    </w:p>
    <w:p w:rsidR="00CC26FB" w:rsidRPr="00CF3563" w:rsidRDefault="00CC26FB" w:rsidP="00744369">
      <w:pPr>
        <w:pStyle w:val="ListParagraph"/>
        <w:numPr>
          <w:ilvl w:val="1"/>
          <w:numId w:val="21"/>
        </w:numPr>
        <w:rPr>
          <w:lang w:eastAsia="en-AU"/>
        </w:rPr>
      </w:pPr>
      <w:r w:rsidRPr="00CF3563">
        <w:rPr>
          <w:lang w:eastAsia="en-AU"/>
        </w:rPr>
        <w:t xml:space="preserve">is consistent with the principles of the Act </w:t>
      </w:r>
    </w:p>
    <w:p w:rsidR="00CC26FB" w:rsidRPr="00CF3563" w:rsidRDefault="00CC26FB" w:rsidP="00744369">
      <w:pPr>
        <w:pStyle w:val="ListParagraph"/>
        <w:numPr>
          <w:ilvl w:val="1"/>
          <w:numId w:val="21"/>
        </w:numPr>
        <w:rPr>
          <w:lang w:eastAsia="en-AU"/>
        </w:rPr>
      </w:pPr>
      <w:r w:rsidRPr="00CF3563">
        <w:rPr>
          <w:lang w:eastAsia="en-AU"/>
        </w:rPr>
        <w:t>is consistent with the requirements of the NDIS Rules</w:t>
      </w:r>
    </w:p>
    <w:p w:rsidR="00CC26FB" w:rsidRPr="00CF3563" w:rsidRDefault="00CC26FB" w:rsidP="00744369">
      <w:pPr>
        <w:pStyle w:val="ListParagraph"/>
        <w:numPr>
          <w:ilvl w:val="1"/>
          <w:numId w:val="21"/>
        </w:numPr>
        <w:rPr>
          <w:lang w:eastAsia="en-AU"/>
        </w:rPr>
      </w:pPr>
      <w:r w:rsidRPr="00CF3563">
        <w:rPr>
          <w:lang w:eastAsia="en-AU"/>
        </w:rPr>
        <w:t>contains strategies to reduce or eliminate the use of restrictive practices with the participant over time</w:t>
      </w:r>
      <w:r>
        <w:rPr>
          <w:lang w:eastAsia="en-AU"/>
        </w:rPr>
        <w:br/>
      </w:r>
    </w:p>
    <w:p w:rsidR="00CC26FB" w:rsidRPr="00CF3563" w:rsidRDefault="00CC26FB" w:rsidP="00744369">
      <w:pPr>
        <w:pStyle w:val="ListParagraph"/>
        <w:numPr>
          <w:ilvl w:val="0"/>
          <w:numId w:val="21"/>
        </w:numPr>
        <w:rPr>
          <w:lang w:eastAsia="en-AU"/>
        </w:rPr>
      </w:pPr>
      <w:r w:rsidRPr="00CF3563">
        <w:rPr>
          <w:lang w:eastAsia="en-AU"/>
        </w:rPr>
        <w:t>Restrictive practice</w:t>
      </w:r>
    </w:p>
    <w:p w:rsidR="00CC26FB" w:rsidRPr="00CF3563" w:rsidRDefault="00CC26FB" w:rsidP="00744369">
      <w:pPr>
        <w:pStyle w:val="ListParagraph"/>
        <w:numPr>
          <w:ilvl w:val="1"/>
          <w:numId w:val="21"/>
        </w:numPr>
        <w:rPr>
          <w:lang w:eastAsia="en-AU"/>
        </w:rPr>
      </w:pPr>
      <w:r w:rsidRPr="00CF3563">
        <w:rPr>
          <w:lang w:eastAsia="en-AU"/>
        </w:rPr>
        <w:t>is necessary to prevent harm to the participant or others</w:t>
      </w:r>
    </w:p>
    <w:p w:rsidR="00CC26FB" w:rsidRPr="00CF3563" w:rsidRDefault="00CC26FB" w:rsidP="00744369">
      <w:pPr>
        <w:pStyle w:val="ListParagraph"/>
        <w:numPr>
          <w:ilvl w:val="1"/>
          <w:numId w:val="21"/>
        </w:numPr>
        <w:rPr>
          <w:lang w:eastAsia="en-AU"/>
        </w:rPr>
      </w:pPr>
      <w:r w:rsidRPr="00CF3563">
        <w:rPr>
          <w:lang w:eastAsia="en-AU"/>
        </w:rPr>
        <w:t>occurs in time limited and specific circumstances only</w:t>
      </w:r>
    </w:p>
    <w:p w:rsidR="00CC26FB" w:rsidRPr="00CF3563" w:rsidRDefault="00CC26FB" w:rsidP="00744369">
      <w:pPr>
        <w:pStyle w:val="ListParagraph"/>
        <w:numPr>
          <w:ilvl w:val="1"/>
          <w:numId w:val="21"/>
        </w:numPr>
        <w:rPr>
          <w:lang w:eastAsia="en-AU"/>
        </w:rPr>
      </w:pPr>
      <w:r w:rsidRPr="00CF3563">
        <w:rPr>
          <w:lang w:eastAsia="en-AU"/>
        </w:rPr>
        <w:t>is used as a last resort</w:t>
      </w:r>
    </w:p>
    <w:p w:rsidR="00CC26FB" w:rsidRPr="00CF3563" w:rsidRDefault="00CC26FB" w:rsidP="00744369">
      <w:pPr>
        <w:pStyle w:val="ListParagraph"/>
        <w:numPr>
          <w:ilvl w:val="1"/>
          <w:numId w:val="21"/>
        </w:numPr>
        <w:rPr>
          <w:lang w:eastAsia="en-AU"/>
        </w:rPr>
      </w:pPr>
      <w:r w:rsidRPr="00CF3563">
        <w:rPr>
          <w:lang w:eastAsia="en-AU"/>
        </w:rPr>
        <w:t>is the least restrictive approach reasonabl</w:t>
      </w:r>
      <w:r>
        <w:rPr>
          <w:lang w:eastAsia="en-AU"/>
        </w:rPr>
        <w:t>y</w:t>
      </w:r>
      <w:r w:rsidRPr="00CF3563">
        <w:rPr>
          <w:lang w:eastAsia="en-AU"/>
        </w:rPr>
        <w:t xml:space="preserve"> available for the participant</w:t>
      </w:r>
    </w:p>
    <w:p w:rsidR="00CC26FB" w:rsidRDefault="00CC26FB" w:rsidP="00744369">
      <w:pPr>
        <w:pStyle w:val="ListParagraph"/>
        <w:numPr>
          <w:ilvl w:val="1"/>
          <w:numId w:val="21"/>
        </w:numPr>
        <w:rPr>
          <w:lang w:eastAsia="en-AU"/>
        </w:rPr>
      </w:pPr>
      <w:proofErr w:type="gramStart"/>
      <w:r w:rsidRPr="00CF3563">
        <w:rPr>
          <w:lang w:eastAsia="en-AU"/>
        </w:rPr>
        <w:t>can</w:t>
      </w:r>
      <w:proofErr w:type="gramEnd"/>
      <w:r w:rsidRPr="00CF3563">
        <w:rPr>
          <w:lang w:eastAsia="en-AU"/>
        </w:rPr>
        <w:t xml:space="preserve"> be safely implemented.</w:t>
      </w:r>
    </w:p>
    <w:p w:rsidR="00CC26FB" w:rsidRPr="00CF3563" w:rsidRDefault="00CC26FB" w:rsidP="00CC26FB">
      <w:pPr>
        <w:rPr>
          <w:lang w:eastAsia="en-AU"/>
        </w:rPr>
      </w:pPr>
      <w:r w:rsidRPr="00CF3563">
        <w:rPr>
          <w:lang w:eastAsia="en-AU"/>
        </w:rPr>
        <w:t xml:space="preserve">In considering the application, the Senior Practitioner may request further information from the NDIS service provider making the application.  </w:t>
      </w:r>
      <w:r w:rsidRPr="00EC16D0">
        <w:rPr>
          <w:b/>
          <w:lang w:eastAsia="en-AU"/>
        </w:rPr>
        <w:t>This information must be provided to the Senior Practitioner within 28 days or the application lapses.</w:t>
      </w:r>
    </w:p>
    <w:p w:rsidR="00CC26FB" w:rsidRDefault="00CC26FB" w:rsidP="00CC26FB">
      <w:pPr>
        <w:rPr>
          <w:lang w:eastAsia="en-AU"/>
        </w:rPr>
      </w:pPr>
      <w:r>
        <w:rPr>
          <w:lang w:eastAsia="en-AU"/>
        </w:rPr>
        <w:t xml:space="preserve">Prior to making a decision on the application, </w:t>
      </w:r>
      <w:r w:rsidRPr="00CF3563">
        <w:rPr>
          <w:lang w:eastAsia="en-AU"/>
        </w:rPr>
        <w:t xml:space="preserve">the Senior Practitioner may inspect the place where the restrictive practice is to be applied to the participant in order to assess </w:t>
      </w:r>
      <w:r>
        <w:rPr>
          <w:lang w:eastAsia="en-AU"/>
        </w:rPr>
        <w:t xml:space="preserve">whether </w:t>
      </w:r>
      <w:r w:rsidRPr="00CF3563">
        <w:rPr>
          <w:lang w:eastAsia="en-AU"/>
        </w:rPr>
        <w:t>the restrictive practice can be safely implemented.</w:t>
      </w:r>
    </w:p>
    <w:p w:rsidR="00CC26FB" w:rsidRDefault="00CC26FB" w:rsidP="00CC26FB">
      <w:pPr>
        <w:pStyle w:val="Heading2"/>
        <w:rPr>
          <w:lang w:eastAsia="en-AU"/>
        </w:rPr>
      </w:pPr>
      <w:bookmarkStart w:id="15" w:name="_Toc17965420"/>
      <w:r>
        <w:rPr>
          <w:lang w:eastAsia="en-AU"/>
        </w:rPr>
        <w:lastRenderedPageBreak/>
        <w:t>Outcome of assessment</w:t>
      </w:r>
      <w:bookmarkEnd w:id="15"/>
    </w:p>
    <w:p w:rsidR="00CC26FB" w:rsidRPr="00146071" w:rsidRDefault="00CC26FB" w:rsidP="00CC26FB">
      <w:pPr>
        <w:rPr>
          <w:lang w:eastAsia="en-AU"/>
        </w:rPr>
      </w:pPr>
      <w:r w:rsidRPr="00146071">
        <w:rPr>
          <w:lang w:eastAsia="en-AU"/>
        </w:rPr>
        <w:t>Following the assessment of the application, there are three possible outcomes:</w:t>
      </w:r>
    </w:p>
    <w:p w:rsidR="00CC26FB" w:rsidRPr="00146071" w:rsidRDefault="00CC26FB" w:rsidP="00744369">
      <w:pPr>
        <w:pStyle w:val="ListParagraph"/>
        <w:numPr>
          <w:ilvl w:val="0"/>
          <w:numId w:val="22"/>
        </w:numPr>
        <w:rPr>
          <w:lang w:eastAsia="en-AU"/>
        </w:rPr>
      </w:pPr>
      <w:r w:rsidRPr="00146071">
        <w:rPr>
          <w:lang w:eastAsia="en-AU"/>
        </w:rPr>
        <w:t>authorisation will be granted</w:t>
      </w:r>
    </w:p>
    <w:p w:rsidR="00CC26FB" w:rsidRPr="00146071" w:rsidRDefault="00CC26FB" w:rsidP="00744369">
      <w:pPr>
        <w:pStyle w:val="ListParagraph"/>
        <w:numPr>
          <w:ilvl w:val="0"/>
          <w:numId w:val="22"/>
        </w:numPr>
        <w:rPr>
          <w:lang w:eastAsia="en-AU"/>
        </w:rPr>
      </w:pPr>
      <w:r w:rsidRPr="00146071">
        <w:rPr>
          <w:lang w:eastAsia="en-AU"/>
        </w:rPr>
        <w:t>authorisation will be refused</w:t>
      </w:r>
    </w:p>
    <w:p w:rsidR="00CC26FB" w:rsidRDefault="00CC26FB" w:rsidP="00744369">
      <w:pPr>
        <w:pStyle w:val="ListParagraph"/>
        <w:numPr>
          <w:ilvl w:val="0"/>
          <w:numId w:val="22"/>
        </w:numPr>
        <w:rPr>
          <w:lang w:eastAsia="en-AU"/>
        </w:rPr>
      </w:pPr>
      <w:proofErr w:type="gramStart"/>
      <w:r w:rsidRPr="00146071">
        <w:rPr>
          <w:lang w:eastAsia="en-AU"/>
        </w:rPr>
        <w:t>an</w:t>
      </w:r>
      <w:proofErr w:type="gramEnd"/>
      <w:r w:rsidRPr="00146071">
        <w:rPr>
          <w:lang w:eastAsia="en-AU"/>
        </w:rPr>
        <w:t xml:space="preserve"> alternative restrictive practice will be proposed.</w:t>
      </w:r>
    </w:p>
    <w:p w:rsidR="00CC26FB" w:rsidRPr="00146071" w:rsidRDefault="00CC26FB" w:rsidP="00CC26FB">
      <w:pPr>
        <w:rPr>
          <w:lang w:eastAsia="en-AU"/>
        </w:rPr>
      </w:pPr>
      <w:r w:rsidRPr="00146071">
        <w:rPr>
          <w:lang w:eastAsia="en-AU"/>
        </w:rPr>
        <w:t xml:space="preserve">The Senior Practitioner will provide an Assessment Outcome with their decision to the NDIS participant and their guardian, as well as to the NDIS provider for their information and action. </w:t>
      </w:r>
    </w:p>
    <w:p w:rsidR="00CC26FB" w:rsidRPr="00146071" w:rsidRDefault="00CC26FB" w:rsidP="00CC26FB">
      <w:pPr>
        <w:rPr>
          <w:lang w:eastAsia="en-AU"/>
        </w:rPr>
      </w:pPr>
      <w:r w:rsidRPr="00146071">
        <w:rPr>
          <w:lang w:eastAsia="en-AU"/>
        </w:rPr>
        <w:t>Authorisation will be granted if:</w:t>
      </w:r>
    </w:p>
    <w:p w:rsidR="00CC26FB" w:rsidRPr="00146071" w:rsidRDefault="00CC26FB" w:rsidP="00744369">
      <w:pPr>
        <w:pStyle w:val="ListParagraph"/>
        <w:numPr>
          <w:ilvl w:val="0"/>
          <w:numId w:val="23"/>
        </w:numPr>
        <w:rPr>
          <w:lang w:eastAsia="en-AU"/>
        </w:rPr>
      </w:pPr>
      <w:r w:rsidRPr="00146071">
        <w:rPr>
          <w:lang w:eastAsia="en-AU"/>
        </w:rPr>
        <w:t>the BSP is consistent with the principles of the Act;</w:t>
      </w:r>
    </w:p>
    <w:p w:rsidR="00CC26FB" w:rsidRPr="00146071" w:rsidRDefault="00CC26FB" w:rsidP="00744369">
      <w:pPr>
        <w:pStyle w:val="ListParagraph"/>
        <w:numPr>
          <w:ilvl w:val="0"/>
          <w:numId w:val="23"/>
        </w:numPr>
        <w:rPr>
          <w:lang w:eastAsia="en-AU"/>
        </w:rPr>
      </w:pPr>
      <w:r w:rsidRPr="00146071">
        <w:rPr>
          <w:lang w:eastAsia="en-AU"/>
        </w:rPr>
        <w:t>the restrictive practice is necessary to prevent harm to the participant or others; and</w:t>
      </w:r>
    </w:p>
    <w:p w:rsidR="00CC26FB" w:rsidRPr="00146071" w:rsidRDefault="00CC26FB" w:rsidP="00744369">
      <w:pPr>
        <w:pStyle w:val="ListParagraph"/>
        <w:numPr>
          <w:ilvl w:val="0"/>
          <w:numId w:val="23"/>
        </w:numPr>
        <w:rPr>
          <w:lang w:eastAsia="en-AU"/>
        </w:rPr>
      </w:pPr>
      <w:proofErr w:type="gramStart"/>
      <w:r w:rsidRPr="00146071">
        <w:rPr>
          <w:lang w:eastAsia="en-AU"/>
        </w:rPr>
        <w:t>the</w:t>
      </w:r>
      <w:proofErr w:type="gramEnd"/>
      <w:r w:rsidRPr="00146071">
        <w:rPr>
          <w:lang w:eastAsia="en-AU"/>
        </w:rPr>
        <w:t xml:space="preserve"> restrictive practice is the least restrictive approach reasonably available to the participant.</w:t>
      </w:r>
    </w:p>
    <w:p w:rsidR="00CC26FB" w:rsidRPr="00146071" w:rsidRDefault="00CC26FB" w:rsidP="00CC26FB">
      <w:pPr>
        <w:rPr>
          <w:lang w:eastAsia="en-AU"/>
        </w:rPr>
      </w:pPr>
      <w:r w:rsidRPr="00146071">
        <w:rPr>
          <w:lang w:eastAsia="en-AU"/>
        </w:rPr>
        <w:t>Any application that includes a request to authorise a restrictive practice that is prohibited will not be authorised by the Senior Practitioner.</w:t>
      </w:r>
    </w:p>
    <w:p w:rsidR="00CC26FB" w:rsidRDefault="00CC26FB" w:rsidP="00CC26FB">
      <w:pPr>
        <w:pStyle w:val="Heading2"/>
        <w:rPr>
          <w:lang w:eastAsia="en-AU"/>
        </w:rPr>
      </w:pPr>
      <w:bookmarkStart w:id="16" w:name="_Toc17965421"/>
      <w:r>
        <w:rPr>
          <w:lang w:eastAsia="en-AU"/>
        </w:rPr>
        <w:t>Period of authorisation</w:t>
      </w:r>
      <w:bookmarkEnd w:id="16"/>
    </w:p>
    <w:p w:rsidR="00CC26FB" w:rsidRPr="00146071" w:rsidRDefault="00CC26FB" w:rsidP="00CC26FB">
      <w:pPr>
        <w:rPr>
          <w:lang w:eastAsia="en-AU"/>
        </w:rPr>
      </w:pPr>
      <w:r w:rsidRPr="00146071">
        <w:rPr>
          <w:lang w:eastAsia="en-AU"/>
        </w:rPr>
        <w:t xml:space="preserve">Authorisation is effective for 12 months and an interim authorisation is effective for </w:t>
      </w:r>
      <w:r>
        <w:rPr>
          <w:lang w:eastAsia="en-AU"/>
        </w:rPr>
        <w:t>six</w:t>
      </w:r>
      <w:r w:rsidRPr="00146071">
        <w:rPr>
          <w:lang w:eastAsia="en-AU"/>
        </w:rPr>
        <w:t xml:space="preserve"> months from the date the authorisation is made</w:t>
      </w:r>
      <w:r>
        <w:rPr>
          <w:lang w:eastAsia="en-AU"/>
        </w:rPr>
        <w:t>,</w:t>
      </w:r>
      <w:r w:rsidRPr="00146071">
        <w:rPr>
          <w:lang w:eastAsia="en-AU"/>
        </w:rPr>
        <w:t xml:space="preserve"> unless otherwise specified by the Senior Practitioner.</w:t>
      </w:r>
    </w:p>
    <w:p w:rsidR="00CC26FB" w:rsidRPr="00146071" w:rsidRDefault="00CC26FB" w:rsidP="00CC26FB">
      <w:pPr>
        <w:rPr>
          <w:lang w:eastAsia="en-AU"/>
        </w:rPr>
      </w:pPr>
      <w:r w:rsidRPr="00146071">
        <w:rPr>
          <w:lang w:eastAsia="en-AU"/>
        </w:rPr>
        <w:t>If there is a requirement for the restrictive practice to continue past the period specified by the Senior Practitioner, it is recommended that a new request for authorisation is submitted prior to the expiration of the existing authorisation. The request for authorisation should be submitted in a timely manner to ensure continuity of behaviour support for the participant.</w:t>
      </w:r>
    </w:p>
    <w:p w:rsidR="00CC26FB" w:rsidRDefault="00CC26FB" w:rsidP="00CC26FB">
      <w:pPr>
        <w:pStyle w:val="Heading2"/>
        <w:rPr>
          <w:lang w:eastAsia="en-AU"/>
        </w:rPr>
      </w:pPr>
      <w:bookmarkStart w:id="17" w:name="_Toc17965422"/>
      <w:r>
        <w:rPr>
          <w:lang w:eastAsia="en-AU"/>
        </w:rPr>
        <w:t>Revocation of authorisation</w:t>
      </w:r>
      <w:bookmarkEnd w:id="17"/>
    </w:p>
    <w:p w:rsidR="00CC26FB" w:rsidRPr="00146071" w:rsidRDefault="00CC26FB" w:rsidP="00CC26FB">
      <w:pPr>
        <w:rPr>
          <w:lang w:eastAsia="en-AU"/>
        </w:rPr>
      </w:pPr>
      <w:r w:rsidRPr="00146071">
        <w:rPr>
          <w:lang w:eastAsia="en-AU"/>
        </w:rPr>
        <w:t>The Senior Practitioner may become aware of circumstances that require the revocation of the authorisation for a restrictive practice.  These may include:</w:t>
      </w:r>
    </w:p>
    <w:p w:rsidR="00CC26FB" w:rsidRPr="00146071" w:rsidRDefault="00CC26FB" w:rsidP="00744369">
      <w:pPr>
        <w:pStyle w:val="ListParagraph"/>
        <w:numPr>
          <w:ilvl w:val="0"/>
          <w:numId w:val="24"/>
        </w:numPr>
        <w:rPr>
          <w:lang w:eastAsia="en-AU"/>
        </w:rPr>
      </w:pPr>
      <w:r w:rsidRPr="00146071">
        <w:rPr>
          <w:lang w:eastAsia="en-AU"/>
        </w:rPr>
        <w:t>non-compliance with requirements of the Act</w:t>
      </w:r>
      <w:r>
        <w:rPr>
          <w:lang w:eastAsia="en-AU"/>
        </w:rPr>
        <w:t>;</w:t>
      </w:r>
      <w:r w:rsidRPr="00146071">
        <w:rPr>
          <w:lang w:eastAsia="en-AU"/>
        </w:rPr>
        <w:t xml:space="preserve"> </w:t>
      </w:r>
    </w:p>
    <w:p w:rsidR="00CC26FB" w:rsidRPr="00146071" w:rsidRDefault="00CC26FB" w:rsidP="00744369">
      <w:pPr>
        <w:pStyle w:val="ListParagraph"/>
        <w:numPr>
          <w:ilvl w:val="0"/>
          <w:numId w:val="24"/>
        </w:numPr>
        <w:rPr>
          <w:lang w:eastAsia="en-AU"/>
        </w:rPr>
      </w:pPr>
      <w:r w:rsidRPr="00146071">
        <w:rPr>
          <w:lang w:eastAsia="en-AU"/>
        </w:rPr>
        <w:t>an issue with the NDIS registration of the service provider</w:t>
      </w:r>
      <w:r>
        <w:rPr>
          <w:lang w:eastAsia="en-AU"/>
        </w:rPr>
        <w:t>; or</w:t>
      </w:r>
    </w:p>
    <w:p w:rsidR="00CC26FB" w:rsidRPr="00146071" w:rsidRDefault="00CC26FB" w:rsidP="00744369">
      <w:pPr>
        <w:pStyle w:val="ListParagraph"/>
        <w:numPr>
          <w:ilvl w:val="0"/>
          <w:numId w:val="24"/>
        </w:numPr>
        <w:rPr>
          <w:lang w:eastAsia="en-AU"/>
        </w:rPr>
      </w:pPr>
      <w:proofErr w:type="gramStart"/>
      <w:r w:rsidRPr="00146071">
        <w:rPr>
          <w:lang w:eastAsia="en-AU"/>
        </w:rPr>
        <w:t>any</w:t>
      </w:r>
      <w:proofErr w:type="gramEnd"/>
      <w:r w:rsidRPr="00146071">
        <w:rPr>
          <w:lang w:eastAsia="en-AU"/>
        </w:rPr>
        <w:t xml:space="preserve"> other circumstances that the Senior Practitioner considers relevant.</w:t>
      </w:r>
    </w:p>
    <w:p w:rsidR="00CC26FB" w:rsidRDefault="00CC26FB" w:rsidP="00CC26FB">
      <w:pPr>
        <w:rPr>
          <w:lang w:eastAsia="en-AU"/>
        </w:rPr>
      </w:pPr>
      <w:r w:rsidRPr="00146071">
        <w:rPr>
          <w:lang w:eastAsia="en-AU"/>
        </w:rPr>
        <w:t>The Senior Practitioner may revoke an authorisation or interim authorisation at any time.  If this occurs, the Senior Practitioner will give written notice of the revocation detailing the reasons, to the participant, their guardian and the NDIS provider who made the application for authorisation.</w:t>
      </w:r>
    </w:p>
    <w:p w:rsidR="00744369" w:rsidRDefault="00744369" w:rsidP="00CC26FB">
      <w:pPr>
        <w:rPr>
          <w:lang w:eastAsia="en-AU"/>
        </w:rPr>
      </w:pPr>
    </w:p>
    <w:p w:rsidR="00744369" w:rsidRDefault="00744369" w:rsidP="00CC26FB">
      <w:pPr>
        <w:rPr>
          <w:lang w:eastAsia="en-AU"/>
        </w:rPr>
      </w:pPr>
    </w:p>
    <w:p w:rsidR="00744369" w:rsidRDefault="00744369" w:rsidP="00CC26FB">
      <w:pPr>
        <w:rPr>
          <w:lang w:eastAsia="en-AU"/>
        </w:rPr>
      </w:pPr>
    </w:p>
    <w:p w:rsidR="00744369" w:rsidRDefault="00744369" w:rsidP="00CC26FB">
      <w:pPr>
        <w:rPr>
          <w:lang w:eastAsia="en-AU"/>
        </w:rPr>
      </w:pPr>
    </w:p>
    <w:p w:rsidR="00744369" w:rsidRPr="00146071" w:rsidRDefault="00744369" w:rsidP="00CC26FB">
      <w:pPr>
        <w:rPr>
          <w:lang w:eastAsia="en-AU"/>
        </w:rPr>
      </w:pPr>
    </w:p>
    <w:p w:rsidR="00CC26FB" w:rsidRDefault="00CC26FB" w:rsidP="00CC26FB">
      <w:pPr>
        <w:pStyle w:val="Heading1"/>
        <w:rPr>
          <w:lang w:eastAsia="en-AU"/>
        </w:rPr>
      </w:pPr>
      <w:bookmarkStart w:id="18" w:name="_Toc17965423"/>
      <w:r>
        <w:rPr>
          <w:lang w:eastAsia="en-AU"/>
        </w:rPr>
        <w:lastRenderedPageBreak/>
        <w:t>Review of authorisation decisions</w:t>
      </w:r>
      <w:bookmarkEnd w:id="18"/>
    </w:p>
    <w:p w:rsidR="00CC26FB" w:rsidRDefault="00CC26FB" w:rsidP="00CC26FB">
      <w:pPr>
        <w:rPr>
          <w:lang w:eastAsia="en-AU"/>
        </w:rPr>
      </w:pPr>
      <w:r w:rsidRPr="00146071">
        <w:rPr>
          <w:lang w:eastAsia="en-AU"/>
        </w:rPr>
        <w:t>If an NDIS participant, their guardian, NDIS behaviour support practitioner or the service provider is not happy with the Senior Practitioner’s decision</w:t>
      </w:r>
      <w:r>
        <w:rPr>
          <w:lang w:eastAsia="en-AU"/>
        </w:rPr>
        <w:t>, they may request a review of the decision.  There are two stages to the review process.</w:t>
      </w:r>
    </w:p>
    <w:p w:rsidR="00CC26FB" w:rsidRPr="00CC26FB" w:rsidRDefault="00CC26FB" w:rsidP="00CC26FB">
      <w:pPr>
        <w:pStyle w:val="Heading2"/>
        <w:rPr>
          <w:lang w:eastAsia="en-AU"/>
        </w:rPr>
      </w:pPr>
      <w:bookmarkStart w:id="19" w:name="_Toc17965424"/>
      <w:r>
        <w:rPr>
          <w:lang w:eastAsia="en-AU"/>
        </w:rPr>
        <w:t>Internal review</w:t>
      </w:r>
      <w:bookmarkEnd w:id="19"/>
    </w:p>
    <w:p w:rsidR="00744369" w:rsidRDefault="00744369" w:rsidP="00744369">
      <w:pPr>
        <w:rPr>
          <w:lang w:eastAsia="en-AU"/>
        </w:rPr>
      </w:pPr>
      <w:r>
        <w:rPr>
          <w:lang w:eastAsia="en-AU"/>
        </w:rPr>
        <w:t>The applicant may apply to the CEO, Department of Health, for an internal review of the decision.</w:t>
      </w:r>
    </w:p>
    <w:p w:rsidR="00744369" w:rsidRPr="00146071" w:rsidRDefault="00744369" w:rsidP="00744369">
      <w:pPr>
        <w:rPr>
          <w:lang w:eastAsia="en-AU"/>
        </w:rPr>
      </w:pPr>
      <w:r w:rsidRPr="00146071">
        <w:rPr>
          <w:lang w:eastAsia="en-AU"/>
        </w:rPr>
        <w:t xml:space="preserve">A request for an internal review must be made within 28 days of receiving written notice of the Senior Practitioner’s decision. </w:t>
      </w:r>
    </w:p>
    <w:p w:rsidR="00744369" w:rsidRPr="00146071" w:rsidRDefault="00744369" w:rsidP="00744369">
      <w:pPr>
        <w:rPr>
          <w:lang w:eastAsia="en-AU"/>
        </w:rPr>
      </w:pPr>
      <w:r w:rsidRPr="00146071">
        <w:rPr>
          <w:lang w:eastAsia="en-AU"/>
        </w:rPr>
        <w:t>The CEO will nominate an internal reviewer to review the decision and make a recommendation to the CEO.   The internal reviewer will recommend to:</w:t>
      </w:r>
    </w:p>
    <w:p w:rsidR="00744369" w:rsidRPr="00146071" w:rsidRDefault="00744369" w:rsidP="00744369">
      <w:pPr>
        <w:pStyle w:val="ListParagraph"/>
        <w:numPr>
          <w:ilvl w:val="0"/>
          <w:numId w:val="25"/>
        </w:numPr>
        <w:rPr>
          <w:lang w:eastAsia="en-AU"/>
        </w:rPr>
      </w:pPr>
      <w:r w:rsidRPr="00146071">
        <w:rPr>
          <w:lang w:eastAsia="en-AU"/>
        </w:rPr>
        <w:t>Affirm the decision of the Senior Practitioner; or</w:t>
      </w:r>
    </w:p>
    <w:p w:rsidR="00744369" w:rsidRPr="00146071" w:rsidRDefault="00744369" w:rsidP="00744369">
      <w:pPr>
        <w:pStyle w:val="ListParagraph"/>
        <w:numPr>
          <w:ilvl w:val="0"/>
          <w:numId w:val="25"/>
        </w:numPr>
        <w:rPr>
          <w:lang w:eastAsia="en-AU"/>
        </w:rPr>
      </w:pPr>
      <w:r w:rsidRPr="00146071">
        <w:rPr>
          <w:lang w:eastAsia="en-AU"/>
        </w:rPr>
        <w:t>Vary the decision of the Senior Practitioner; or</w:t>
      </w:r>
    </w:p>
    <w:p w:rsidR="00744369" w:rsidRPr="00146071" w:rsidRDefault="00744369" w:rsidP="00744369">
      <w:pPr>
        <w:pStyle w:val="ListParagraph"/>
        <w:numPr>
          <w:ilvl w:val="0"/>
          <w:numId w:val="25"/>
        </w:numPr>
        <w:rPr>
          <w:lang w:eastAsia="en-AU"/>
        </w:rPr>
      </w:pPr>
      <w:r w:rsidRPr="00146071">
        <w:rPr>
          <w:lang w:eastAsia="en-AU"/>
        </w:rPr>
        <w:t>Set aside the decision of the Senior Practitioner and substitute a new decision.</w:t>
      </w:r>
    </w:p>
    <w:p w:rsidR="00744369" w:rsidRPr="00146071" w:rsidRDefault="00744369" w:rsidP="00744369">
      <w:pPr>
        <w:rPr>
          <w:lang w:eastAsia="en-AU"/>
        </w:rPr>
      </w:pPr>
      <w:r w:rsidRPr="00146071">
        <w:rPr>
          <w:lang w:eastAsia="en-AU"/>
        </w:rPr>
        <w:t>Once the CEO has received the internal reviewer’s recommendation, they will make a decision as to whether they will accept or vary the decision of the internal reviewer or whether they will set aside the decision and substitute a new decision.  It should be noted that, under the Act, the CEO is not bound by the recommendation of the internal reviewer.</w:t>
      </w:r>
    </w:p>
    <w:p w:rsidR="00744369" w:rsidRPr="00146071" w:rsidRDefault="00744369" w:rsidP="00744369">
      <w:pPr>
        <w:rPr>
          <w:lang w:eastAsia="en-AU"/>
        </w:rPr>
      </w:pPr>
      <w:r w:rsidRPr="00146071">
        <w:rPr>
          <w:lang w:eastAsia="en-AU"/>
        </w:rPr>
        <w:t>The CEO must notify the applicant for the internal review and any other person who</w:t>
      </w:r>
      <w:r>
        <w:rPr>
          <w:lang w:eastAsia="en-AU"/>
        </w:rPr>
        <w:t xml:space="preserve">, </w:t>
      </w:r>
      <w:r w:rsidRPr="00146071">
        <w:rPr>
          <w:lang w:eastAsia="en-AU"/>
        </w:rPr>
        <w:t>under section 22 of the Act</w:t>
      </w:r>
      <w:r>
        <w:rPr>
          <w:lang w:eastAsia="en-AU"/>
        </w:rPr>
        <w:t>,</w:t>
      </w:r>
      <w:r w:rsidRPr="00146071">
        <w:rPr>
          <w:lang w:eastAsia="en-AU"/>
        </w:rPr>
        <w:t xml:space="preserve"> could have applied for an internal review.  The notice of decision will include the CEO’s decision and the reasons for it as well as details of the right the person has under the Act to apply to the Northern Territory Civil and Administrative Tribunal (NTCAT) for a review of the CEO’s decision.</w:t>
      </w:r>
    </w:p>
    <w:p w:rsidR="00CC26FB" w:rsidRDefault="00744369" w:rsidP="00744369">
      <w:pPr>
        <w:pStyle w:val="Heading2"/>
        <w:rPr>
          <w:lang w:eastAsia="en-AU"/>
        </w:rPr>
      </w:pPr>
      <w:bookmarkStart w:id="20" w:name="_Toc17965425"/>
      <w:r>
        <w:rPr>
          <w:lang w:eastAsia="en-AU"/>
        </w:rPr>
        <w:t>Review by the Northern Territory Civil Administration Tribunal (NTCAT)</w:t>
      </w:r>
      <w:bookmarkEnd w:id="20"/>
    </w:p>
    <w:p w:rsidR="00744369" w:rsidRPr="00146071" w:rsidRDefault="00744369" w:rsidP="00744369">
      <w:pPr>
        <w:rPr>
          <w:lang w:eastAsia="en-AU"/>
        </w:rPr>
      </w:pPr>
      <w:r w:rsidRPr="00146071">
        <w:rPr>
          <w:lang w:eastAsia="en-AU"/>
        </w:rPr>
        <w:t xml:space="preserve">The NTCAT has jurisdiction to review a decision of the CEO.  NTCAT will consider and determine applications for review of the merits of decisions made by the CEO. It will reach a view as to what is the correct or preferable decision by undertaking a thorough reconsideration of the matter (which may involve consideration of facts and materials that were not considered by the original decision maker).   </w:t>
      </w:r>
    </w:p>
    <w:p w:rsidR="00744369" w:rsidRPr="00146071" w:rsidRDefault="00744369" w:rsidP="00744369">
      <w:r w:rsidRPr="00146071">
        <w:rPr>
          <w:lang w:eastAsia="en-AU"/>
        </w:rPr>
        <w:t xml:space="preserve">More information about the NTCAT process can be found at </w:t>
      </w:r>
      <w:hyperlink r:id="rId18" w:history="1">
        <w:r w:rsidRPr="00146071">
          <w:rPr>
            <w:rStyle w:val="Hyperlink"/>
            <w:sz w:val="24"/>
          </w:rPr>
          <w:t>https://ntcat.nt.gov.au/</w:t>
        </w:r>
      </w:hyperlink>
      <w:r w:rsidRPr="00146071">
        <w:t>.</w:t>
      </w:r>
    </w:p>
    <w:p w:rsidR="00744369" w:rsidRPr="00744369" w:rsidRDefault="00744369" w:rsidP="00744369">
      <w:pPr>
        <w:rPr>
          <w:lang w:eastAsia="en-AU"/>
        </w:rPr>
      </w:pPr>
    </w:p>
    <w:sectPr w:rsidR="00744369" w:rsidRPr="00744369" w:rsidSect="00C95D30">
      <w:footerReference w:type="default" r:id="rId19"/>
      <w:headerReference w:type="first" r:id="rId20"/>
      <w:pgSz w:w="11906" w:h="16838" w:code="9"/>
      <w:pgMar w:top="794" w:right="794" w:bottom="794" w:left="794"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134" w:rsidRDefault="004C1134">
      <w:r>
        <w:separator/>
      </w:r>
    </w:p>
  </w:endnote>
  <w:endnote w:type="continuationSeparator" w:id="0">
    <w:p w:rsidR="004C1134" w:rsidRDefault="004C1134">
      <w:r>
        <w:continuationSeparator/>
      </w:r>
    </w:p>
  </w:endnote>
  <w:endnote w:type="continuationNotice" w:id="1">
    <w:p w:rsidR="004C1134" w:rsidRDefault="004C11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FS Me Light">
    <w:altName w:val="FS Me 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25129"/>
      <w:docPartObj>
        <w:docPartGallery w:val="Page Numbers (Bottom of Page)"/>
        <w:docPartUnique/>
      </w:docPartObj>
    </w:sdtPr>
    <w:sdtEndPr/>
    <w:sdtContent>
      <w:sdt>
        <w:sdtPr>
          <w:id w:val="34003993"/>
          <w:docPartObj>
            <w:docPartGallery w:val="Page Numbers (Top of Page)"/>
            <w:docPartUnique/>
          </w:docPartObj>
        </w:sdtPr>
        <w:sdtEndPr/>
        <w:sdtContent>
          <w:p w:rsidR="004E7885" w:rsidRDefault="004E7885" w:rsidP="004E7885">
            <w:r w:rsidRPr="004E7885">
              <w:rPr>
                <w:rStyle w:val="PageNumber"/>
              </w:rPr>
              <w:t xml:space="preserve">Page </w:t>
            </w:r>
            <w:r w:rsidRPr="004E7885">
              <w:rPr>
                <w:rStyle w:val="PageNumber"/>
              </w:rPr>
              <w:fldChar w:fldCharType="begin"/>
            </w:r>
            <w:r w:rsidRPr="004E7885">
              <w:rPr>
                <w:rStyle w:val="PageNumber"/>
              </w:rPr>
              <w:instrText xml:space="preserve"> PAGE </w:instrText>
            </w:r>
            <w:r w:rsidRPr="004E7885">
              <w:rPr>
                <w:rStyle w:val="PageNumber"/>
              </w:rPr>
              <w:fldChar w:fldCharType="separate"/>
            </w:r>
            <w:r>
              <w:rPr>
                <w:rStyle w:val="PageNumber"/>
                <w:noProof/>
              </w:rPr>
              <w:t>3</w:t>
            </w:r>
            <w:r w:rsidRPr="004E7885">
              <w:rPr>
                <w:rStyle w:val="PageNumber"/>
              </w:rPr>
              <w:fldChar w:fldCharType="end"/>
            </w:r>
            <w:r w:rsidRPr="004E7885">
              <w:rPr>
                <w:rStyle w:val="PageNumber"/>
              </w:rPr>
              <w:t xml:space="preserve"> of </w:t>
            </w:r>
            <w:r w:rsidRPr="004E7885">
              <w:rPr>
                <w:rStyle w:val="PageNumber"/>
              </w:rPr>
              <w:fldChar w:fldCharType="begin"/>
            </w:r>
            <w:r w:rsidRPr="004E7885">
              <w:rPr>
                <w:rStyle w:val="PageNumber"/>
              </w:rPr>
              <w:instrText xml:space="preserve"> NUMPAGES  </w:instrText>
            </w:r>
            <w:r w:rsidRPr="004E7885">
              <w:rPr>
                <w:rStyle w:val="PageNumber"/>
              </w:rPr>
              <w:fldChar w:fldCharType="separate"/>
            </w:r>
            <w:r w:rsidR="004C1134">
              <w:rPr>
                <w:rStyle w:val="PageNumber"/>
                <w:noProof/>
              </w:rPr>
              <w:t>3</w:t>
            </w:r>
            <w:r w:rsidRPr="004E7885">
              <w:rPr>
                <w:rStyle w:val="PageNumber"/>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22" w:rsidRPr="00F538BD" w:rsidRDefault="004E7885" w:rsidP="004E7885">
    <w:pPr>
      <w:spacing w:after="0"/>
      <w:jc w:val="right"/>
      <w:rPr>
        <w:sz w:val="6"/>
        <w:szCs w:val="6"/>
      </w:rPr>
    </w:pPr>
    <w:r w:rsidRPr="001852AF">
      <w:rPr>
        <w:noProof/>
        <w:lang w:eastAsia="en-AU"/>
      </w:rPr>
      <w:drawing>
        <wp:inline distT="0" distB="0" distL="0" distR="0" wp14:anchorId="217A6269" wp14:editId="6F1E2019">
          <wp:extent cx="1574700" cy="561600"/>
          <wp:effectExtent l="0" t="0" r="6985" b="0"/>
          <wp:docPr id="3" name="Picture 3"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700" cy="5616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885" w:rsidRDefault="004E7885" w:rsidP="004E7885">
    <w:pPr>
      <w:pStyle w:val="Hidden"/>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885" w:rsidRPr="00F538BD" w:rsidRDefault="004E7885" w:rsidP="004E7885">
    <w:pPr>
      <w:spacing w:after="0"/>
      <w:rPr>
        <w:sz w:val="6"/>
        <w:szCs w:val="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C35" w:rsidRPr="00A50829" w:rsidRDefault="009B7C35" w:rsidP="00A50829">
    <w:pPr>
      <w:pStyle w:val="Hidden"/>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A50829" w:rsidRPr="00132658" w:rsidTr="00AD224A">
      <w:trPr>
        <w:cantSplit/>
        <w:trHeight w:hRule="exact" w:val="850"/>
        <w:tblHeader/>
      </w:trPr>
      <w:tc>
        <w:tcPr>
          <w:tcW w:w="10318" w:type="dxa"/>
          <w:vAlign w:val="bottom"/>
        </w:tcPr>
        <w:p w:rsidR="00A50829" w:rsidRDefault="00A50829" w:rsidP="00A50829">
          <w:pPr>
            <w:spacing w:after="0"/>
            <w:rPr>
              <w:rStyle w:val="PageNumber"/>
              <w:b/>
            </w:rPr>
          </w:pPr>
          <w:r>
            <w:rPr>
              <w:rStyle w:val="PageNumber"/>
            </w:rPr>
            <w:t xml:space="preserve">Department of </w:t>
          </w:r>
          <w:sdt>
            <w:sdtPr>
              <w:rPr>
                <w:rStyle w:val="PageNumber"/>
                <w:b/>
              </w:rPr>
              <w:alias w:val="Company"/>
              <w:tag w:val=""/>
              <w:id w:val="-1550452142"/>
              <w:placeholder>
                <w:docPart w:val="047DDFD45B6D4BFF855C62CDA1A41201"/>
              </w:placeholder>
              <w:dataBinding w:prefixMappings="xmlns:ns0='http://schemas.openxmlformats.org/officeDocument/2006/extended-properties' " w:xpath="/ns0:Properties[1]/ns0:Company[1]" w:storeItemID="{6668398D-A668-4E3E-A5EB-62B293D839F1}"/>
              <w:text w:multiLine="1"/>
            </w:sdtPr>
            <w:sdtEndPr>
              <w:rPr>
                <w:rStyle w:val="PageNumber"/>
              </w:rPr>
            </w:sdtEndPr>
            <w:sdtContent>
              <w:r w:rsidR="00744369">
                <w:rPr>
                  <w:rStyle w:val="PageNumber"/>
                  <w:b/>
                </w:rPr>
                <w:t>Health</w:t>
              </w:r>
            </w:sdtContent>
          </w:sdt>
          <w:r w:rsidRPr="00CE6614">
            <w:rPr>
              <w:rStyle w:val="PageNumber"/>
            </w:rPr>
            <w:t xml:space="preserve"> </w:t>
          </w:r>
        </w:p>
        <w:p w:rsidR="00A50829" w:rsidRPr="00CE6614" w:rsidRDefault="00744369" w:rsidP="00A50829">
          <w:pPr>
            <w:spacing w:after="0"/>
            <w:rPr>
              <w:rStyle w:val="PageNumber"/>
            </w:rPr>
          </w:pPr>
          <w:sdt>
            <w:sdtPr>
              <w:rPr>
                <w:rStyle w:val="PageNumber"/>
              </w:rPr>
              <w:alias w:val="Date"/>
              <w:tag w:val=""/>
              <w:id w:val="1578473972"/>
              <w:placeholder>
                <w:docPart w:val="0DA4725D68E04F28A839400F2DB3DE06"/>
              </w:placeholder>
              <w:dataBinding w:prefixMappings="xmlns:ns0='http://schemas.microsoft.com/office/2006/coverPageProps' " w:xpath="/ns0:CoverPageProperties[1]/ns0:PublishDate[1]" w:storeItemID="{55AF091B-3C7A-41E3-B477-F2FDAA23CFDA}"/>
              <w15:color w:val="000000"/>
              <w:date w:fullDate="2019-08-27T00:00:00Z">
                <w:dateFormat w:val="d MMMM yyyy"/>
                <w:lid w:val="en-AU"/>
                <w:storeMappedDataAs w:val="dateTime"/>
                <w:calendar w:val="gregorian"/>
              </w:date>
            </w:sdtPr>
            <w:sdtEndPr>
              <w:rPr>
                <w:rStyle w:val="PageNumber"/>
              </w:rPr>
            </w:sdtEndPr>
            <w:sdtContent>
              <w:r>
                <w:rPr>
                  <w:rStyle w:val="PageNumber"/>
                </w:rPr>
                <w:t>27 August 2019</w:t>
              </w:r>
            </w:sdtContent>
          </w:sdt>
          <w:r w:rsidR="00A50829" w:rsidRPr="00CE6614">
            <w:rPr>
              <w:rStyle w:val="PageNumber"/>
            </w:rPr>
            <w:t xml:space="preserve"> | Version </w:t>
          </w:r>
          <w:r>
            <w:rPr>
              <w:rStyle w:val="PageNumber"/>
            </w:rPr>
            <w:t>1.0</w:t>
          </w:r>
        </w:p>
        <w:p w:rsidR="00A50829" w:rsidRPr="00AC4488" w:rsidRDefault="00A50829" w:rsidP="00A50829">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744369">
            <w:rPr>
              <w:rStyle w:val="PageNumber"/>
              <w:noProof/>
            </w:rPr>
            <w:t>13</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744369">
            <w:rPr>
              <w:rStyle w:val="PageNumber"/>
              <w:noProof/>
            </w:rPr>
            <w:t>13</w:t>
          </w:r>
          <w:r w:rsidRPr="00AC4488">
            <w:rPr>
              <w:rStyle w:val="PageNumber"/>
            </w:rPr>
            <w:fldChar w:fldCharType="end"/>
          </w:r>
        </w:p>
      </w:tc>
    </w:tr>
  </w:tbl>
  <w:p w:rsidR="00417E19" w:rsidRDefault="00417E19" w:rsidP="00AD1B26">
    <w:pPr>
      <w:pStyle w:val="Hidden"/>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134" w:rsidRDefault="004C1134">
      <w:r>
        <w:separator/>
      </w:r>
    </w:p>
  </w:footnote>
  <w:footnote w:type="continuationSeparator" w:id="0">
    <w:p w:rsidR="004C1134" w:rsidRDefault="004C1134">
      <w:r>
        <w:continuationSeparator/>
      </w:r>
    </w:p>
  </w:footnote>
  <w:footnote w:type="continuationNotice" w:id="1">
    <w:p w:rsidR="004C1134" w:rsidRDefault="004C113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22" w:rsidRPr="008E0345" w:rsidRDefault="00744369" w:rsidP="005A5A44">
    <w:pPr>
      <w:pStyle w:val="Header"/>
    </w:pPr>
    <w:sdt>
      <w:sdtPr>
        <w:alias w:val="Title"/>
        <w:tag w:val=""/>
        <w:id w:val="-477918894"/>
        <w:placeholder>
          <w:docPart w:val="CC2C7E916A7746C9B9B1629F13295151"/>
        </w:placeholder>
        <w:dataBinding w:prefixMappings="xmlns:ns0='http://purl.org/dc/elements/1.1/' xmlns:ns1='http://schemas.openxmlformats.org/package/2006/metadata/core-properties' " w:xpath="/ns1:coreProperties[1]/ns0:title[1]" w:storeItemID="{6C3C8BC8-F283-45AE-878A-BAB7291924A1}"/>
        <w:text/>
      </w:sdtPr>
      <w:sdtEndPr/>
      <w:sdtContent>
        <w:r w:rsidR="004C1134">
          <w:t>Restrictive Practices Authorisation Framework</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373" w:rsidRPr="00BD0F38" w:rsidRDefault="00DD64C2" w:rsidP="00A32EFF">
    <w:pPr>
      <w:tabs>
        <w:tab w:val="right" w:pos="10318"/>
      </w:tabs>
    </w:pPr>
    <w:r w:rsidRPr="00BD0F38">
      <w:rPr>
        <w:noProof/>
        <w:lang w:eastAsia="en-AU"/>
      </w:rPr>
      <w:drawing>
        <wp:anchor distT="0" distB="0" distL="0" distR="0" simplePos="0" relativeHeight="251659264" behindDoc="0" locked="0" layoutInCell="1" allowOverlap="1" wp14:anchorId="37DBE2BB" wp14:editId="0995EEC3">
          <wp:simplePos x="0" y="0"/>
          <wp:positionH relativeFrom="page">
            <wp:align>left</wp:align>
          </wp:positionH>
          <wp:positionV relativeFrom="page">
            <wp:posOffset>3393830</wp:posOffset>
          </wp:positionV>
          <wp:extent cx="7553130" cy="5448285"/>
          <wp:effectExtent l="0" t="0" r="0" b="635"/>
          <wp:wrapTopAndBottom/>
          <wp:docPr id="2" name="image4.png"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3130" cy="54482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C37" w:rsidRPr="004E7885" w:rsidRDefault="00744369" w:rsidP="004E7885">
    <w:pPr>
      <w:pStyle w:val="Header"/>
    </w:pPr>
    <w:sdt>
      <w:sdtPr>
        <w:alias w:val="Title"/>
        <w:tag w:val="Title"/>
        <w:id w:val="94911156"/>
        <w:lock w:val="sdtLocked"/>
        <w:placeholder>
          <w:docPart w:val="CC2C7E916A7746C9B9B1629F13295151"/>
        </w:placeholder>
        <w:dataBinding w:prefixMappings="xmlns:ns0='http://purl.org/dc/elements/1.1/' xmlns:ns1='http://schemas.openxmlformats.org/package/2006/metadata/core-properties' " w:xpath="/ns1:coreProperties[1]/ns0:title[1]" w:storeItemID="{6C3C8BC8-F283-45AE-878A-BAB7291924A1}"/>
        <w15:color w:val="000000"/>
        <w:text/>
      </w:sdtPr>
      <w:sdtEndPr/>
      <w:sdtContent>
        <w:r w:rsidR="004C1134">
          <w:t>Restrictive Practices Authorisation Framework</w:t>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B22" w:rsidRPr="00274F1C" w:rsidRDefault="00964B22" w:rsidP="004E7885">
    <w:pPr>
      <w:pStyle w:val="Header"/>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2130893165"/>
      <w:placeholder>
        <w:docPart w:val="D129B6A06EFA43CFAA6D0F64D689F991"/>
      </w:placeholder>
      <w:dataBinding w:prefixMappings="xmlns:ns0='http://purl.org/dc/elements/1.1/' xmlns:ns1='http://schemas.openxmlformats.org/package/2006/metadata/core-properties' " w:xpath="/ns1:coreProperties[1]/ns0:title[1]" w:storeItemID="{6C3C8BC8-F283-45AE-878A-BAB7291924A1}"/>
      <w:text/>
    </w:sdtPr>
    <w:sdtEndPr/>
    <w:sdtContent>
      <w:p w:rsidR="00983000" w:rsidRPr="00964B22" w:rsidRDefault="004C1134" w:rsidP="008E0345">
        <w:pPr>
          <w:pStyle w:val="Header"/>
          <w:rPr>
            <w:b/>
          </w:rPr>
        </w:pPr>
        <w:r>
          <w:t>Restrictive Practices Authorisation Framework</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91EAF"/>
    <w:multiLevelType w:val="hybridMultilevel"/>
    <w:tmpl w:val="C26068D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6E40AE"/>
    <w:multiLevelType w:val="hybridMultilevel"/>
    <w:tmpl w:val="0B784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7245D0"/>
    <w:multiLevelType w:val="multilevel"/>
    <w:tmpl w:val="0C78A7AC"/>
    <w:name w:val="NTG Table Bullet List322"/>
    <w:numStyleLink w:val="Tablebulletlist"/>
  </w:abstractNum>
  <w:abstractNum w:abstractNumId="3" w15:restartNumberingAfterBreak="0">
    <w:nsid w:val="0C10063F"/>
    <w:multiLevelType w:val="hybridMultilevel"/>
    <w:tmpl w:val="889661AA"/>
    <w:lvl w:ilvl="0" w:tplc="0C090017">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F195B3C"/>
    <w:multiLevelType w:val="multilevel"/>
    <w:tmpl w:val="3928FD02"/>
    <w:name w:val="NTG Table Bullet List3322222"/>
    <w:numStyleLink w:val="Bulletlist"/>
  </w:abstractNum>
  <w:abstractNum w:abstractNumId="5" w15:restartNumberingAfterBreak="0">
    <w:nsid w:val="100244A1"/>
    <w:multiLevelType w:val="multilevel"/>
    <w:tmpl w:val="0C78A7AC"/>
    <w:name w:val="NTG Table Bullet List332"/>
    <w:numStyleLink w:val="Tablebulletlist"/>
  </w:abstractNum>
  <w:abstractNum w:abstractNumId="6" w15:restartNumberingAfterBreak="0">
    <w:nsid w:val="1012237B"/>
    <w:multiLevelType w:val="multilevel"/>
    <w:tmpl w:val="0C78A7AC"/>
    <w:name w:val="NTG Table Bullet List32"/>
    <w:numStyleLink w:val="Tablebulletlist"/>
  </w:abstractNum>
  <w:abstractNum w:abstractNumId="7" w15:restartNumberingAfterBreak="0">
    <w:nsid w:val="15E93577"/>
    <w:multiLevelType w:val="multilevel"/>
    <w:tmpl w:val="4E6AC8F6"/>
    <w:name w:val="NTG Table Bullet List33222222"/>
    <w:numStyleLink w:val="Numberlist"/>
  </w:abstractNum>
  <w:abstractNum w:abstractNumId="8" w15:restartNumberingAfterBreak="0">
    <w:nsid w:val="18D26C06"/>
    <w:multiLevelType w:val="multilevel"/>
    <w:tmpl w:val="3E5E177A"/>
    <w:name w:val="NTG Table Bullet List33222222222222222"/>
    <w:numStyleLink w:val="Tablenumberlist"/>
  </w:abstractNum>
  <w:abstractNum w:abstractNumId="9" w15:restartNumberingAfterBreak="0">
    <w:nsid w:val="19533A06"/>
    <w:multiLevelType w:val="multilevel"/>
    <w:tmpl w:val="3928FD02"/>
    <w:name w:val="NTG Table Bullet List3222"/>
    <w:numStyleLink w:val="Bulletlist"/>
  </w:abstractNum>
  <w:abstractNum w:abstractNumId="10"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1" w15:restartNumberingAfterBreak="0">
    <w:nsid w:val="1B26429D"/>
    <w:multiLevelType w:val="multilevel"/>
    <w:tmpl w:val="3E5E177A"/>
    <w:name w:val="NTG Table Bullet List33222222222"/>
    <w:numStyleLink w:val="Tablenumberlist"/>
  </w:abstractNum>
  <w:abstractNum w:abstractNumId="12" w15:restartNumberingAfterBreak="0">
    <w:nsid w:val="1B86276C"/>
    <w:multiLevelType w:val="multilevel"/>
    <w:tmpl w:val="3928FD02"/>
    <w:name w:val="NTG Table Bullet List32223"/>
    <w:numStyleLink w:val="Bulletlist"/>
  </w:abstractNum>
  <w:abstractNum w:abstractNumId="13" w15:restartNumberingAfterBreak="0">
    <w:nsid w:val="1C0A576D"/>
    <w:multiLevelType w:val="hybridMultilevel"/>
    <w:tmpl w:val="C26068D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D0744AE"/>
    <w:multiLevelType w:val="multilevel"/>
    <w:tmpl w:val="3E5E177A"/>
    <w:name w:val="NTG Table Bullet List3222322"/>
    <w:numStyleLink w:val="Tablenumberlist"/>
  </w:abstractNum>
  <w:abstractNum w:abstractNumId="15" w15:restartNumberingAfterBreak="0">
    <w:nsid w:val="20493EC8"/>
    <w:multiLevelType w:val="hybridMultilevel"/>
    <w:tmpl w:val="7B4C7C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1CB336A"/>
    <w:multiLevelType w:val="hybridMultilevel"/>
    <w:tmpl w:val="4BA434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8" w15:restartNumberingAfterBreak="0">
    <w:nsid w:val="272E3F76"/>
    <w:multiLevelType w:val="multilevel"/>
    <w:tmpl w:val="3E5E177A"/>
    <w:name w:val="NTG Table Bullet List3322"/>
    <w:numStyleLink w:val="Tablenumberlist"/>
  </w:abstractNum>
  <w:abstractNum w:abstractNumId="19" w15:restartNumberingAfterBreak="0">
    <w:nsid w:val="27CE4608"/>
    <w:multiLevelType w:val="multilevel"/>
    <w:tmpl w:val="3E5E177A"/>
    <w:name w:val="NTG Table Bullet List33222"/>
    <w:numStyleLink w:val="Tablenumberlist"/>
  </w:abstractNum>
  <w:abstractNum w:abstractNumId="20" w15:restartNumberingAfterBreak="0">
    <w:nsid w:val="27D83E4D"/>
    <w:multiLevelType w:val="multilevel"/>
    <w:tmpl w:val="3928FD02"/>
    <w:numStyleLink w:val="Bulletlist"/>
  </w:abstractNum>
  <w:abstractNum w:abstractNumId="21" w15:restartNumberingAfterBreak="0">
    <w:nsid w:val="29E146BA"/>
    <w:multiLevelType w:val="hybridMultilevel"/>
    <w:tmpl w:val="1E2615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3" w15:restartNumberingAfterBreak="0">
    <w:nsid w:val="2E693641"/>
    <w:multiLevelType w:val="multilevel"/>
    <w:tmpl w:val="3E5E177A"/>
    <w:name w:val="NTG Table Bullet List33"/>
    <w:numStyleLink w:val="Tablenumberlist"/>
  </w:abstractNum>
  <w:abstractNum w:abstractNumId="24" w15:restartNumberingAfterBreak="0">
    <w:nsid w:val="2E99686F"/>
    <w:multiLevelType w:val="hybridMultilevel"/>
    <w:tmpl w:val="93D4A76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2EF077BC"/>
    <w:multiLevelType w:val="multilevel"/>
    <w:tmpl w:val="0C78A7AC"/>
    <w:name w:val="NTG Table Bullet List33222222222222222222"/>
    <w:numStyleLink w:val="Tablebulletlist"/>
  </w:abstractNum>
  <w:abstractNum w:abstractNumId="26" w15:restartNumberingAfterBreak="0">
    <w:nsid w:val="32DF44DA"/>
    <w:multiLevelType w:val="multilevel"/>
    <w:tmpl w:val="3E5E177A"/>
    <w:name w:val="NTG Table Bullet List3222323"/>
    <w:numStyleLink w:val="Tablenumberlist"/>
  </w:abstractNum>
  <w:abstractNum w:abstractNumId="27"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8" w15:restartNumberingAfterBreak="0">
    <w:nsid w:val="377C426F"/>
    <w:multiLevelType w:val="multilevel"/>
    <w:tmpl w:val="FD1CD746"/>
    <w:styleLink w:val="Numberedli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D424BA"/>
    <w:multiLevelType w:val="hybridMultilevel"/>
    <w:tmpl w:val="5936F5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3BE61945"/>
    <w:multiLevelType w:val="multilevel"/>
    <w:tmpl w:val="3928FD02"/>
    <w:name w:val="NTG Table Bullet List332222222222222222"/>
    <w:numStyleLink w:val="Bulletlist"/>
  </w:abstractNum>
  <w:abstractNum w:abstractNumId="31" w15:restartNumberingAfterBreak="0">
    <w:nsid w:val="47C221A8"/>
    <w:multiLevelType w:val="hybridMultilevel"/>
    <w:tmpl w:val="BE1023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9FD3A20"/>
    <w:multiLevelType w:val="multilevel"/>
    <w:tmpl w:val="3E5E177A"/>
    <w:name w:val="NTG Table Bullet List3322222222222"/>
    <w:numStyleLink w:val="Tablenumberlist"/>
  </w:abstractNum>
  <w:abstractNum w:abstractNumId="33" w15:restartNumberingAfterBreak="0">
    <w:nsid w:val="4B7A5424"/>
    <w:multiLevelType w:val="hybridMultilevel"/>
    <w:tmpl w:val="55ECB4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35"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6" w15:restartNumberingAfterBreak="0">
    <w:nsid w:val="52C47F19"/>
    <w:multiLevelType w:val="hybridMultilevel"/>
    <w:tmpl w:val="577492F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3842BC6"/>
    <w:multiLevelType w:val="multilevel"/>
    <w:tmpl w:val="0C78A7AC"/>
    <w:numStyleLink w:val="Tablebulletlist"/>
  </w:abstractNum>
  <w:abstractNum w:abstractNumId="38"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9" w15:restartNumberingAfterBreak="0">
    <w:nsid w:val="56DA2CAE"/>
    <w:multiLevelType w:val="multilevel"/>
    <w:tmpl w:val="3E5E177A"/>
    <w:name w:val="NTG Table Bullet List332222222222222"/>
    <w:numStyleLink w:val="Tablenumberlist"/>
  </w:abstractNum>
  <w:abstractNum w:abstractNumId="40" w15:restartNumberingAfterBreak="0">
    <w:nsid w:val="583359D9"/>
    <w:multiLevelType w:val="multilevel"/>
    <w:tmpl w:val="3E5E177A"/>
    <w:name w:val="NTG Table Bullet List332222222"/>
    <w:numStyleLink w:val="Tablenumberlist"/>
  </w:abstractNum>
  <w:abstractNum w:abstractNumId="41" w15:restartNumberingAfterBreak="0">
    <w:nsid w:val="5B9A5FFE"/>
    <w:multiLevelType w:val="multilevel"/>
    <w:tmpl w:val="0C78A7AC"/>
    <w:name w:val="NTG Table Bullet List33222222222222"/>
    <w:numStyleLink w:val="Tablebulletlist"/>
  </w:abstractNum>
  <w:abstractNum w:abstractNumId="42" w15:restartNumberingAfterBreak="0">
    <w:nsid w:val="5D444259"/>
    <w:multiLevelType w:val="multilevel"/>
    <w:tmpl w:val="0C78A7AC"/>
    <w:name w:val="NTG Table Bullet List332222"/>
    <w:numStyleLink w:val="Tablebulletlist"/>
  </w:abstractNum>
  <w:abstractNum w:abstractNumId="43" w15:restartNumberingAfterBreak="0">
    <w:nsid w:val="5EF63C36"/>
    <w:multiLevelType w:val="hybridMultilevel"/>
    <w:tmpl w:val="5FF4A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2E82CC0"/>
    <w:multiLevelType w:val="hybridMultilevel"/>
    <w:tmpl w:val="173A70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640D16AA"/>
    <w:multiLevelType w:val="hybridMultilevel"/>
    <w:tmpl w:val="394ED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68D73C65"/>
    <w:multiLevelType w:val="hybridMultilevel"/>
    <w:tmpl w:val="8AAE9F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69262556"/>
    <w:multiLevelType w:val="multilevel"/>
    <w:tmpl w:val="3E5E177A"/>
    <w:name w:val="NTG Table Bullet List3322222222222222"/>
    <w:numStyleLink w:val="Tablenumberlist"/>
  </w:abstractNum>
  <w:abstractNum w:abstractNumId="48" w15:restartNumberingAfterBreak="0">
    <w:nsid w:val="7453664D"/>
    <w:multiLevelType w:val="multilevel"/>
    <w:tmpl w:val="0C78A7AC"/>
    <w:name w:val="NTG Table Bullet List3322222222222222222"/>
    <w:numStyleLink w:val="Tablebulletlist"/>
  </w:abstractNum>
  <w:abstractNum w:abstractNumId="49" w15:restartNumberingAfterBreak="0">
    <w:nsid w:val="76141D1E"/>
    <w:multiLevelType w:val="multilevel"/>
    <w:tmpl w:val="0C78A7AC"/>
    <w:name w:val="NTG Table Bullet List332222222222"/>
    <w:numStyleLink w:val="Tablebulletlist"/>
  </w:abstractNum>
  <w:abstractNum w:abstractNumId="50" w15:restartNumberingAfterBreak="0">
    <w:nsid w:val="79CC6470"/>
    <w:multiLevelType w:val="multilevel"/>
    <w:tmpl w:val="CB32F200"/>
    <w:lvl w:ilvl="0">
      <w:start w:val="1"/>
      <w:numFmt w:val="decimal"/>
      <w:pStyle w:val="Heading1"/>
      <w:suff w:val="space"/>
      <w:lvlText w:val="%1."/>
      <w:lvlJc w:val="left"/>
      <w:pPr>
        <w:ind w:left="432" w:hanging="432"/>
      </w:pPr>
      <w:rPr>
        <w:rFonts w:hint="default"/>
        <w:b w:val="0"/>
        <w:i w:val="0"/>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51"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7"/>
  </w:num>
  <w:num w:numId="2">
    <w:abstractNumId w:val="17"/>
  </w:num>
  <w:num w:numId="3">
    <w:abstractNumId w:val="50"/>
  </w:num>
  <w:num w:numId="4">
    <w:abstractNumId w:val="34"/>
  </w:num>
  <w:num w:numId="5">
    <w:abstractNumId w:val="22"/>
  </w:num>
  <w:num w:numId="6">
    <w:abstractNumId w:val="10"/>
  </w:num>
  <w:num w:numId="7">
    <w:abstractNumId w:val="37"/>
  </w:num>
  <w:num w:numId="8">
    <w:abstractNumId w:val="20"/>
  </w:num>
  <w:num w:numId="9">
    <w:abstractNumId w:val="28"/>
  </w:num>
  <w:num w:numId="10">
    <w:abstractNumId w:val="43"/>
  </w:num>
  <w:num w:numId="11">
    <w:abstractNumId w:val="45"/>
  </w:num>
  <w:num w:numId="12">
    <w:abstractNumId w:val="15"/>
  </w:num>
  <w:num w:numId="13">
    <w:abstractNumId w:val="16"/>
  </w:num>
  <w:num w:numId="14">
    <w:abstractNumId w:val="44"/>
  </w:num>
  <w:num w:numId="15">
    <w:abstractNumId w:val="0"/>
  </w:num>
  <w:num w:numId="16">
    <w:abstractNumId w:val="3"/>
  </w:num>
  <w:num w:numId="17">
    <w:abstractNumId w:val="13"/>
  </w:num>
  <w:num w:numId="18">
    <w:abstractNumId w:val="36"/>
  </w:num>
  <w:num w:numId="19">
    <w:abstractNumId w:val="24"/>
  </w:num>
  <w:num w:numId="20">
    <w:abstractNumId w:val="21"/>
  </w:num>
  <w:num w:numId="21">
    <w:abstractNumId w:val="46"/>
  </w:num>
  <w:num w:numId="22">
    <w:abstractNumId w:val="1"/>
  </w:num>
  <w:num w:numId="23">
    <w:abstractNumId w:val="31"/>
  </w:num>
  <w:num w:numId="24">
    <w:abstractNumId w:val="33"/>
  </w:num>
  <w:num w:numId="25">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D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134"/>
    <w:rsid w:val="00001DDF"/>
    <w:rsid w:val="0000322D"/>
    <w:rsid w:val="00007670"/>
    <w:rsid w:val="00010665"/>
    <w:rsid w:val="000238B4"/>
    <w:rsid w:val="0002393A"/>
    <w:rsid w:val="00027DB8"/>
    <w:rsid w:val="000307A7"/>
    <w:rsid w:val="00031A96"/>
    <w:rsid w:val="00040BF3"/>
    <w:rsid w:val="0004562E"/>
    <w:rsid w:val="00046C59"/>
    <w:rsid w:val="00050358"/>
    <w:rsid w:val="00051362"/>
    <w:rsid w:val="00051F45"/>
    <w:rsid w:val="00052953"/>
    <w:rsid w:val="0005341A"/>
    <w:rsid w:val="00056DEF"/>
    <w:rsid w:val="000720BE"/>
    <w:rsid w:val="0007259C"/>
    <w:rsid w:val="00080202"/>
    <w:rsid w:val="00080DCD"/>
    <w:rsid w:val="00080E22"/>
    <w:rsid w:val="00082573"/>
    <w:rsid w:val="000840A3"/>
    <w:rsid w:val="00085062"/>
    <w:rsid w:val="00086A5F"/>
    <w:rsid w:val="000911EF"/>
    <w:rsid w:val="000962C5"/>
    <w:rsid w:val="000A4317"/>
    <w:rsid w:val="000A559C"/>
    <w:rsid w:val="000B2CA1"/>
    <w:rsid w:val="000B6E48"/>
    <w:rsid w:val="000D1F29"/>
    <w:rsid w:val="000D633D"/>
    <w:rsid w:val="000E0962"/>
    <w:rsid w:val="000E342B"/>
    <w:rsid w:val="000E38FB"/>
    <w:rsid w:val="000E5DD2"/>
    <w:rsid w:val="000F2958"/>
    <w:rsid w:val="000F4805"/>
    <w:rsid w:val="00104E7F"/>
    <w:rsid w:val="001137EC"/>
    <w:rsid w:val="001152F5"/>
    <w:rsid w:val="00117743"/>
    <w:rsid w:val="00117F5B"/>
    <w:rsid w:val="00132658"/>
    <w:rsid w:val="00147DED"/>
    <w:rsid w:val="00150DC0"/>
    <w:rsid w:val="00156CD4"/>
    <w:rsid w:val="00161CC6"/>
    <w:rsid w:val="00164A3E"/>
    <w:rsid w:val="00166FF6"/>
    <w:rsid w:val="00172C77"/>
    <w:rsid w:val="00176123"/>
    <w:rsid w:val="00181620"/>
    <w:rsid w:val="001957AD"/>
    <w:rsid w:val="001A2B7F"/>
    <w:rsid w:val="001A3AFD"/>
    <w:rsid w:val="001A496C"/>
    <w:rsid w:val="001A6304"/>
    <w:rsid w:val="001B2B6C"/>
    <w:rsid w:val="001B2FB8"/>
    <w:rsid w:val="001D01C4"/>
    <w:rsid w:val="001D52B0"/>
    <w:rsid w:val="001D5A18"/>
    <w:rsid w:val="001D7CA4"/>
    <w:rsid w:val="001E057F"/>
    <w:rsid w:val="001E14EB"/>
    <w:rsid w:val="001E1D4D"/>
    <w:rsid w:val="001F59E6"/>
    <w:rsid w:val="00202014"/>
    <w:rsid w:val="00206936"/>
    <w:rsid w:val="00206C6F"/>
    <w:rsid w:val="00206FBD"/>
    <w:rsid w:val="00207746"/>
    <w:rsid w:val="00221220"/>
    <w:rsid w:val="00230031"/>
    <w:rsid w:val="00235C01"/>
    <w:rsid w:val="00236878"/>
    <w:rsid w:val="00247343"/>
    <w:rsid w:val="00247538"/>
    <w:rsid w:val="00264C90"/>
    <w:rsid w:val="00265C56"/>
    <w:rsid w:val="002716CD"/>
    <w:rsid w:val="00272232"/>
    <w:rsid w:val="00274D4B"/>
    <w:rsid w:val="002806F5"/>
    <w:rsid w:val="00281577"/>
    <w:rsid w:val="002926BC"/>
    <w:rsid w:val="00293A72"/>
    <w:rsid w:val="002A0160"/>
    <w:rsid w:val="002A30C3"/>
    <w:rsid w:val="002A6F6A"/>
    <w:rsid w:val="002A7712"/>
    <w:rsid w:val="002B38F7"/>
    <w:rsid w:val="002B4C0D"/>
    <w:rsid w:val="002B5591"/>
    <w:rsid w:val="002B6AA4"/>
    <w:rsid w:val="002C1FE9"/>
    <w:rsid w:val="002D3A57"/>
    <w:rsid w:val="002D7D05"/>
    <w:rsid w:val="002E20C8"/>
    <w:rsid w:val="002E4290"/>
    <w:rsid w:val="002E5B94"/>
    <w:rsid w:val="002E66A6"/>
    <w:rsid w:val="002F0DB1"/>
    <w:rsid w:val="002F2885"/>
    <w:rsid w:val="002F3CF1"/>
    <w:rsid w:val="002F45A1"/>
    <w:rsid w:val="003037F9"/>
    <w:rsid w:val="0030583E"/>
    <w:rsid w:val="00307FE1"/>
    <w:rsid w:val="003164BA"/>
    <w:rsid w:val="003216EA"/>
    <w:rsid w:val="003223FE"/>
    <w:rsid w:val="003258E6"/>
    <w:rsid w:val="00342283"/>
    <w:rsid w:val="00343A87"/>
    <w:rsid w:val="00344A36"/>
    <w:rsid w:val="003456F4"/>
    <w:rsid w:val="00347FB6"/>
    <w:rsid w:val="003504FD"/>
    <w:rsid w:val="00350881"/>
    <w:rsid w:val="00357D55"/>
    <w:rsid w:val="00363513"/>
    <w:rsid w:val="003657E5"/>
    <w:rsid w:val="0036589C"/>
    <w:rsid w:val="00371312"/>
    <w:rsid w:val="00371DC7"/>
    <w:rsid w:val="003765C6"/>
    <w:rsid w:val="00376BF0"/>
    <w:rsid w:val="00377B21"/>
    <w:rsid w:val="00390CE3"/>
    <w:rsid w:val="00394876"/>
    <w:rsid w:val="00394AAF"/>
    <w:rsid w:val="00394CE5"/>
    <w:rsid w:val="003A6341"/>
    <w:rsid w:val="003B173F"/>
    <w:rsid w:val="003B67FD"/>
    <w:rsid w:val="003B6A61"/>
    <w:rsid w:val="003D3850"/>
    <w:rsid w:val="003D42C0"/>
    <w:rsid w:val="003D5B29"/>
    <w:rsid w:val="003D7818"/>
    <w:rsid w:val="003E2445"/>
    <w:rsid w:val="003E3BB2"/>
    <w:rsid w:val="003F5B58"/>
    <w:rsid w:val="0040222A"/>
    <w:rsid w:val="004047BC"/>
    <w:rsid w:val="00406497"/>
    <w:rsid w:val="004100F7"/>
    <w:rsid w:val="00414CB3"/>
    <w:rsid w:val="0041563D"/>
    <w:rsid w:val="00417E19"/>
    <w:rsid w:val="00420CF5"/>
    <w:rsid w:val="00422874"/>
    <w:rsid w:val="00426E25"/>
    <w:rsid w:val="00427D9C"/>
    <w:rsid w:val="00427E7E"/>
    <w:rsid w:val="004433AE"/>
    <w:rsid w:val="00443B6E"/>
    <w:rsid w:val="004521CB"/>
    <w:rsid w:val="0045420A"/>
    <w:rsid w:val="004554D4"/>
    <w:rsid w:val="00461744"/>
    <w:rsid w:val="00466185"/>
    <w:rsid w:val="004668A7"/>
    <w:rsid w:val="00466D96"/>
    <w:rsid w:val="00467747"/>
    <w:rsid w:val="00473C98"/>
    <w:rsid w:val="00474965"/>
    <w:rsid w:val="00482DF8"/>
    <w:rsid w:val="004864DE"/>
    <w:rsid w:val="00494BE5"/>
    <w:rsid w:val="004A0EBA"/>
    <w:rsid w:val="004A2538"/>
    <w:rsid w:val="004B0C15"/>
    <w:rsid w:val="004B35EA"/>
    <w:rsid w:val="004B69E4"/>
    <w:rsid w:val="004B7373"/>
    <w:rsid w:val="004C1134"/>
    <w:rsid w:val="004C2BF4"/>
    <w:rsid w:val="004C6C39"/>
    <w:rsid w:val="004D075F"/>
    <w:rsid w:val="004D1B76"/>
    <w:rsid w:val="004D344E"/>
    <w:rsid w:val="004E019E"/>
    <w:rsid w:val="004E06EC"/>
    <w:rsid w:val="004E0FD7"/>
    <w:rsid w:val="004E2CB7"/>
    <w:rsid w:val="004E31D1"/>
    <w:rsid w:val="004E7885"/>
    <w:rsid w:val="004F016A"/>
    <w:rsid w:val="004F2206"/>
    <w:rsid w:val="00500F94"/>
    <w:rsid w:val="00502FB3"/>
    <w:rsid w:val="00503DE9"/>
    <w:rsid w:val="0050530C"/>
    <w:rsid w:val="00505DEA"/>
    <w:rsid w:val="00507782"/>
    <w:rsid w:val="00512A04"/>
    <w:rsid w:val="005249F5"/>
    <w:rsid w:val="005260F7"/>
    <w:rsid w:val="00543BD1"/>
    <w:rsid w:val="00546D7E"/>
    <w:rsid w:val="00556113"/>
    <w:rsid w:val="00564C12"/>
    <w:rsid w:val="005654B8"/>
    <w:rsid w:val="0057377F"/>
    <w:rsid w:val="005762CC"/>
    <w:rsid w:val="00582D3D"/>
    <w:rsid w:val="00583889"/>
    <w:rsid w:val="00595386"/>
    <w:rsid w:val="005953B0"/>
    <w:rsid w:val="005A3621"/>
    <w:rsid w:val="005A4AC0"/>
    <w:rsid w:val="005A5A44"/>
    <w:rsid w:val="005A5FDF"/>
    <w:rsid w:val="005B0FB7"/>
    <w:rsid w:val="005B122A"/>
    <w:rsid w:val="005B5AC2"/>
    <w:rsid w:val="005C2833"/>
    <w:rsid w:val="005E144D"/>
    <w:rsid w:val="005E1500"/>
    <w:rsid w:val="005E3A43"/>
    <w:rsid w:val="005E51A4"/>
    <w:rsid w:val="005F77C7"/>
    <w:rsid w:val="00620675"/>
    <w:rsid w:val="00622910"/>
    <w:rsid w:val="00622E24"/>
    <w:rsid w:val="006433C3"/>
    <w:rsid w:val="00650F5B"/>
    <w:rsid w:val="00652DC0"/>
    <w:rsid w:val="00660584"/>
    <w:rsid w:val="006670D7"/>
    <w:rsid w:val="00667797"/>
    <w:rsid w:val="006719EA"/>
    <w:rsid w:val="00671F13"/>
    <w:rsid w:val="0067400A"/>
    <w:rsid w:val="006747E0"/>
    <w:rsid w:val="006847AD"/>
    <w:rsid w:val="0069114B"/>
    <w:rsid w:val="006A756A"/>
    <w:rsid w:val="006B30FB"/>
    <w:rsid w:val="006C396A"/>
    <w:rsid w:val="006D1ADA"/>
    <w:rsid w:val="006D66F7"/>
    <w:rsid w:val="006E3B5D"/>
    <w:rsid w:val="00702D61"/>
    <w:rsid w:val="00705C9D"/>
    <w:rsid w:val="00705F13"/>
    <w:rsid w:val="00714F1D"/>
    <w:rsid w:val="00715225"/>
    <w:rsid w:val="00717C37"/>
    <w:rsid w:val="00720CC6"/>
    <w:rsid w:val="00722DDB"/>
    <w:rsid w:val="00724728"/>
    <w:rsid w:val="00724F98"/>
    <w:rsid w:val="00730B9B"/>
    <w:rsid w:val="0073182E"/>
    <w:rsid w:val="007332FF"/>
    <w:rsid w:val="007408F5"/>
    <w:rsid w:val="00741EAE"/>
    <w:rsid w:val="00744369"/>
    <w:rsid w:val="007551E1"/>
    <w:rsid w:val="00755248"/>
    <w:rsid w:val="007557E0"/>
    <w:rsid w:val="0076190B"/>
    <w:rsid w:val="0076355D"/>
    <w:rsid w:val="00763A2D"/>
    <w:rsid w:val="007761D8"/>
    <w:rsid w:val="00777795"/>
    <w:rsid w:val="00783A57"/>
    <w:rsid w:val="00784C92"/>
    <w:rsid w:val="007859CD"/>
    <w:rsid w:val="00786FA3"/>
    <w:rsid w:val="007907E4"/>
    <w:rsid w:val="00796461"/>
    <w:rsid w:val="00797696"/>
    <w:rsid w:val="007A6A4F"/>
    <w:rsid w:val="007B03F5"/>
    <w:rsid w:val="007B59D3"/>
    <w:rsid w:val="007B5C09"/>
    <w:rsid w:val="007B5DA2"/>
    <w:rsid w:val="007C0966"/>
    <w:rsid w:val="007C19E7"/>
    <w:rsid w:val="007C5CFD"/>
    <w:rsid w:val="007C6D9F"/>
    <w:rsid w:val="007D4893"/>
    <w:rsid w:val="007D7697"/>
    <w:rsid w:val="007E70CF"/>
    <w:rsid w:val="007E74A4"/>
    <w:rsid w:val="007F263F"/>
    <w:rsid w:val="007F46EA"/>
    <w:rsid w:val="007F5579"/>
    <w:rsid w:val="008002E8"/>
    <w:rsid w:val="0080766E"/>
    <w:rsid w:val="008105BE"/>
    <w:rsid w:val="00811169"/>
    <w:rsid w:val="00815297"/>
    <w:rsid w:val="00817BA1"/>
    <w:rsid w:val="00821D46"/>
    <w:rsid w:val="00823022"/>
    <w:rsid w:val="0082634E"/>
    <w:rsid w:val="008313C4"/>
    <w:rsid w:val="00832B35"/>
    <w:rsid w:val="00835434"/>
    <w:rsid w:val="008358C0"/>
    <w:rsid w:val="00842838"/>
    <w:rsid w:val="00852724"/>
    <w:rsid w:val="00854BE6"/>
    <w:rsid w:val="00854EC1"/>
    <w:rsid w:val="0085797F"/>
    <w:rsid w:val="00861DC3"/>
    <w:rsid w:val="00867019"/>
    <w:rsid w:val="008735A9"/>
    <w:rsid w:val="00877D20"/>
    <w:rsid w:val="00881C48"/>
    <w:rsid w:val="00885590"/>
    <w:rsid w:val="00885B80"/>
    <w:rsid w:val="00885C30"/>
    <w:rsid w:val="00885E9B"/>
    <w:rsid w:val="00886C9D"/>
    <w:rsid w:val="00893C96"/>
    <w:rsid w:val="0089500A"/>
    <w:rsid w:val="00897C94"/>
    <w:rsid w:val="008A51A3"/>
    <w:rsid w:val="008A7C12"/>
    <w:rsid w:val="008B03CE"/>
    <w:rsid w:val="008B529E"/>
    <w:rsid w:val="008C17FB"/>
    <w:rsid w:val="008D1B00"/>
    <w:rsid w:val="008D57B8"/>
    <w:rsid w:val="008E0345"/>
    <w:rsid w:val="008E03FC"/>
    <w:rsid w:val="008E510B"/>
    <w:rsid w:val="00902B13"/>
    <w:rsid w:val="00911941"/>
    <w:rsid w:val="009138A0"/>
    <w:rsid w:val="00925F0F"/>
    <w:rsid w:val="00930C91"/>
    <w:rsid w:val="00932F6B"/>
    <w:rsid w:val="009436FF"/>
    <w:rsid w:val="009468BC"/>
    <w:rsid w:val="009616DF"/>
    <w:rsid w:val="00964B22"/>
    <w:rsid w:val="0096542F"/>
    <w:rsid w:val="00967FA7"/>
    <w:rsid w:val="00971645"/>
    <w:rsid w:val="00977919"/>
    <w:rsid w:val="00983000"/>
    <w:rsid w:val="00984D9B"/>
    <w:rsid w:val="009863A2"/>
    <w:rsid w:val="009870FA"/>
    <w:rsid w:val="009921C3"/>
    <w:rsid w:val="0099551D"/>
    <w:rsid w:val="009A5897"/>
    <w:rsid w:val="009A5F24"/>
    <w:rsid w:val="009B0B3E"/>
    <w:rsid w:val="009B1913"/>
    <w:rsid w:val="009B6657"/>
    <w:rsid w:val="009B7C35"/>
    <w:rsid w:val="009C21F1"/>
    <w:rsid w:val="009D0EB5"/>
    <w:rsid w:val="009D14F9"/>
    <w:rsid w:val="009D2B74"/>
    <w:rsid w:val="009D63FF"/>
    <w:rsid w:val="009E175D"/>
    <w:rsid w:val="009E2315"/>
    <w:rsid w:val="009E3CC2"/>
    <w:rsid w:val="009F06BD"/>
    <w:rsid w:val="009F2A4D"/>
    <w:rsid w:val="009F3302"/>
    <w:rsid w:val="00A00828"/>
    <w:rsid w:val="00A03290"/>
    <w:rsid w:val="00A07490"/>
    <w:rsid w:val="00A10655"/>
    <w:rsid w:val="00A1197C"/>
    <w:rsid w:val="00A12B64"/>
    <w:rsid w:val="00A22C38"/>
    <w:rsid w:val="00A25193"/>
    <w:rsid w:val="00A26E80"/>
    <w:rsid w:val="00A31AE8"/>
    <w:rsid w:val="00A32EFF"/>
    <w:rsid w:val="00A3739D"/>
    <w:rsid w:val="00A37DDA"/>
    <w:rsid w:val="00A37ED8"/>
    <w:rsid w:val="00A50829"/>
    <w:rsid w:val="00A925EC"/>
    <w:rsid w:val="00A929AA"/>
    <w:rsid w:val="00A92B6B"/>
    <w:rsid w:val="00A955A9"/>
    <w:rsid w:val="00AA4C49"/>
    <w:rsid w:val="00AA541E"/>
    <w:rsid w:val="00AD0DA4"/>
    <w:rsid w:val="00AD134E"/>
    <w:rsid w:val="00AD1B26"/>
    <w:rsid w:val="00AD23F7"/>
    <w:rsid w:val="00AD4169"/>
    <w:rsid w:val="00AD7557"/>
    <w:rsid w:val="00AE25C6"/>
    <w:rsid w:val="00AE306C"/>
    <w:rsid w:val="00AF28C1"/>
    <w:rsid w:val="00B02EF1"/>
    <w:rsid w:val="00B070B3"/>
    <w:rsid w:val="00B07C97"/>
    <w:rsid w:val="00B07EA1"/>
    <w:rsid w:val="00B11C67"/>
    <w:rsid w:val="00B15754"/>
    <w:rsid w:val="00B15A27"/>
    <w:rsid w:val="00B2046E"/>
    <w:rsid w:val="00B20E8B"/>
    <w:rsid w:val="00B257E1"/>
    <w:rsid w:val="00B2599A"/>
    <w:rsid w:val="00B27AC4"/>
    <w:rsid w:val="00B343CC"/>
    <w:rsid w:val="00B43C75"/>
    <w:rsid w:val="00B5084A"/>
    <w:rsid w:val="00B606A1"/>
    <w:rsid w:val="00B614F7"/>
    <w:rsid w:val="00B61B26"/>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0F38"/>
    <w:rsid w:val="00BD7FE1"/>
    <w:rsid w:val="00BE37CA"/>
    <w:rsid w:val="00BE4B2A"/>
    <w:rsid w:val="00BE6144"/>
    <w:rsid w:val="00BE635A"/>
    <w:rsid w:val="00BF17E9"/>
    <w:rsid w:val="00BF2ABB"/>
    <w:rsid w:val="00BF5099"/>
    <w:rsid w:val="00C10F10"/>
    <w:rsid w:val="00C15D4D"/>
    <w:rsid w:val="00C175DC"/>
    <w:rsid w:val="00C30171"/>
    <w:rsid w:val="00C309D8"/>
    <w:rsid w:val="00C33998"/>
    <w:rsid w:val="00C43519"/>
    <w:rsid w:val="00C51537"/>
    <w:rsid w:val="00C52BC3"/>
    <w:rsid w:val="00C5584B"/>
    <w:rsid w:val="00C61AFA"/>
    <w:rsid w:val="00C61D64"/>
    <w:rsid w:val="00C62099"/>
    <w:rsid w:val="00C64EA3"/>
    <w:rsid w:val="00C72867"/>
    <w:rsid w:val="00C75E81"/>
    <w:rsid w:val="00C75F52"/>
    <w:rsid w:val="00C86609"/>
    <w:rsid w:val="00C92B4C"/>
    <w:rsid w:val="00C954F6"/>
    <w:rsid w:val="00C95D30"/>
    <w:rsid w:val="00CA6BC5"/>
    <w:rsid w:val="00CB3E57"/>
    <w:rsid w:val="00CC1CCA"/>
    <w:rsid w:val="00CC26FB"/>
    <w:rsid w:val="00CC61CD"/>
    <w:rsid w:val="00CD5011"/>
    <w:rsid w:val="00CE640F"/>
    <w:rsid w:val="00CE76BC"/>
    <w:rsid w:val="00CF540E"/>
    <w:rsid w:val="00D02F07"/>
    <w:rsid w:val="00D23346"/>
    <w:rsid w:val="00D27EBE"/>
    <w:rsid w:val="00D36A49"/>
    <w:rsid w:val="00D517C6"/>
    <w:rsid w:val="00D64806"/>
    <w:rsid w:val="00D71D84"/>
    <w:rsid w:val="00D72464"/>
    <w:rsid w:val="00D768EB"/>
    <w:rsid w:val="00D82D1E"/>
    <w:rsid w:val="00D832D9"/>
    <w:rsid w:val="00D90F00"/>
    <w:rsid w:val="00D94F6B"/>
    <w:rsid w:val="00D975C0"/>
    <w:rsid w:val="00DA5285"/>
    <w:rsid w:val="00DB191D"/>
    <w:rsid w:val="00DB4F91"/>
    <w:rsid w:val="00DC1EF7"/>
    <w:rsid w:val="00DC1F0F"/>
    <w:rsid w:val="00DC3117"/>
    <w:rsid w:val="00DC5DD9"/>
    <w:rsid w:val="00DC6D2D"/>
    <w:rsid w:val="00DD64C2"/>
    <w:rsid w:val="00DE33B5"/>
    <w:rsid w:val="00DE5E18"/>
    <w:rsid w:val="00DE6E01"/>
    <w:rsid w:val="00DF0487"/>
    <w:rsid w:val="00DF5EA4"/>
    <w:rsid w:val="00E02681"/>
    <w:rsid w:val="00E02792"/>
    <w:rsid w:val="00E034D8"/>
    <w:rsid w:val="00E04CC0"/>
    <w:rsid w:val="00E15816"/>
    <w:rsid w:val="00E160D5"/>
    <w:rsid w:val="00E239FF"/>
    <w:rsid w:val="00E27D7B"/>
    <w:rsid w:val="00E30556"/>
    <w:rsid w:val="00E30981"/>
    <w:rsid w:val="00E33136"/>
    <w:rsid w:val="00E34D7C"/>
    <w:rsid w:val="00E36C7E"/>
    <w:rsid w:val="00E3723D"/>
    <w:rsid w:val="00E44C89"/>
    <w:rsid w:val="00E45536"/>
    <w:rsid w:val="00E61BA2"/>
    <w:rsid w:val="00E63586"/>
    <w:rsid w:val="00E63864"/>
    <w:rsid w:val="00E6403F"/>
    <w:rsid w:val="00E64725"/>
    <w:rsid w:val="00E770C4"/>
    <w:rsid w:val="00E77ACA"/>
    <w:rsid w:val="00E84C5A"/>
    <w:rsid w:val="00E861DB"/>
    <w:rsid w:val="00E93406"/>
    <w:rsid w:val="00E956C5"/>
    <w:rsid w:val="00E95C39"/>
    <w:rsid w:val="00EA2C39"/>
    <w:rsid w:val="00EB0A3C"/>
    <w:rsid w:val="00EB0A96"/>
    <w:rsid w:val="00EB3D43"/>
    <w:rsid w:val="00EB77F9"/>
    <w:rsid w:val="00EC5769"/>
    <w:rsid w:val="00EC7D00"/>
    <w:rsid w:val="00ED0304"/>
    <w:rsid w:val="00ED087C"/>
    <w:rsid w:val="00EE38FA"/>
    <w:rsid w:val="00EE3E2C"/>
    <w:rsid w:val="00EE466C"/>
    <w:rsid w:val="00EE5D23"/>
    <w:rsid w:val="00EE750D"/>
    <w:rsid w:val="00EF3CA4"/>
    <w:rsid w:val="00EF5E1F"/>
    <w:rsid w:val="00EF7859"/>
    <w:rsid w:val="00F014DA"/>
    <w:rsid w:val="00F02591"/>
    <w:rsid w:val="00F13212"/>
    <w:rsid w:val="00F14273"/>
    <w:rsid w:val="00F15D8F"/>
    <w:rsid w:val="00F479D5"/>
    <w:rsid w:val="00F5696E"/>
    <w:rsid w:val="00F60EFF"/>
    <w:rsid w:val="00F67D2D"/>
    <w:rsid w:val="00F70155"/>
    <w:rsid w:val="00F860CC"/>
    <w:rsid w:val="00F90858"/>
    <w:rsid w:val="00F94398"/>
    <w:rsid w:val="00FA228B"/>
    <w:rsid w:val="00FA4629"/>
    <w:rsid w:val="00FA64B4"/>
    <w:rsid w:val="00FA6B6D"/>
    <w:rsid w:val="00FB0A2D"/>
    <w:rsid w:val="00FB2B56"/>
    <w:rsid w:val="00FB4E3A"/>
    <w:rsid w:val="00FC12BF"/>
    <w:rsid w:val="00FC16A5"/>
    <w:rsid w:val="00FC1A7C"/>
    <w:rsid w:val="00FC2C60"/>
    <w:rsid w:val="00FC64AB"/>
    <w:rsid w:val="00FD3E6F"/>
    <w:rsid w:val="00FD51B9"/>
    <w:rsid w:val="00FE2A39"/>
    <w:rsid w:val="00FE2EF6"/>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853D3"/>
  <w15:docId w15:val="{CD4EB29E-6281-4FAE-B23F-CB8946120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2"/>
    <w:lsdException w:name="heading 6" w:uiPriority="2"/>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84B"/>
    <w:rPr>
      <w:rFonts w:ascii="Lato" w:hAnsi="Lato"/>
    </w:rPr>
  </w:style>
  <w:style w:type="paragraph" w:styleId="Heading1">
    <w:name w:val="heading 1"/>
    <w:basedOn w:val="Normal"/>
    <w:next w:val="Normal"/>
    <w:link w:val="Heading1Char"/>
    <w:uiPriority w:val="2"/>
    <w:qFormat/>
    <w:rsid w:val="00E45536"/>
    <w:pPr>
      <w:numPr>
        <w:numId w:val="3"/>
      </w:numPr>
      <w:spacing w:before="240"/>
      <w:outlineLvl w:val="0"/>
    </w:pPr>
    <w:rPr>
      <w:rFonts w:asciiTheme="majorHAnsi" w:eastAsiaTheme="majorEastAsia" w:hAnsiTheme="majorHAnsi" w:cstheme="majorBidi"/>
      <w:bCs/>
      <w:color w:val="1F1F5F" w:themeColor="text1"/>
      <w:kern w:val="32"/>
      <w:sz w:val="36"/>
      <w:szCs w:val="32"/>
    </w:rPr>
  </w:style>
  <w:style w:type="paragraph" w:styleId="Heading2">
    <w:name w:val="heading 2"/>
    <w:basedOn w:val="Normal"/>
    <w:next w:val="Normal"/>
    <w:link w:val="Heading2Char"/>
    <w:uiPriority w:val="2"/>
    <w:qFormat/>
    <w:rsid w:val="00E45536"/>
    <w:pPr>
      <w:numPr>
        <w:ilvl w:val="1"/>
        <w:numId w:val="3"/>
      </w:numPr>
      <w:spacing w:before="240"/>
      <w:outlineLvl w:val="1"/>
    </w:pPr>
    <w:rPr>
      <w:rFonts w:asciiTheme="majorHAnsi" w:eastAsiaTheme="majorEastAsia" w:hAnsiTheme="majorHAnsi" w:cstheme="majorBidi"/>
      <w:bCs/>
      <w:iCs/>
      <w:color w:val="454347"/>
      <w:sz w:val="32"/>
      <w:szCs w:val="32"/>
    </w:rPr>
  </w:style>
  <w:style w:type="paragraph" w:styleId="Heading3">
    <w:name w:val="heading 3"/>
    <w:basedOn w:val="Normal"/>
    <w:next w:val="Normal"/>
    <w:link w:val="Heading3Char"/>
    <w:uiPriority w:val="2"/>
    <w:qFormat/>
    <w:rsid w:val="00E45536"/>
    <w:pPr>
      <w:numPr>
        <w:ilvl w:val="2"/>
        <w:numId w:val="3"/>
      </w:numPr>
      <w:spacing w:before="240"/>
      <w:outlineLvl w:val="2"/>
    </w:pPr>
    <w:rPr>
      <w:rFonts w:asciiTheme="majorHAnsi" w:hAnsiTheme="majorHAnsi" w:cs="Arial"/>
      <w:bCs/>
      <w:color w:val="1F1F5F" w:themeColor="text1"/>
      <w:sz w:val="28"/>
      <w:szCs w:val="28"/>
    </w:rPr>
  </w:style>
  <w:style w:type="paragraph" w:styleId="Heading4">
    <w:name w:val="heading 4"/>
    <w:basedOn w:val="Normal"/>
    <w:next w:val="Normal"/>
    <w:link w:val="Heading4Char"/>
    <w:uiPriority w:val="2"/>
    <w:qFormat/>
    <w:rsid w:val="00E45536"/>
    <w:pPr>
      <w:numPr>
        <w:ilvl w:val="3"/>
        <w:numId w:val="3"/>
      </w:numPr>
      <w:spacing w:before="240"/>
      <w:ind w:left="862" w:hanging="862"/>
      <w:outlineLvl w:val="3"/>
    </w:pPr>
    <w:rPr>
      <w:rFonts w:asciiTheme="majorHAnsi" w:eastAsiaTheme="majorEastAsia" w:hAnsiTheme="majorHAnsi" w:cstheme="majorBidi"/>
      <w:bCs/>
      <w:iCs/>
      <w:color w:val="454347"/>
      <w:sz w:val="24"/>
    </w:rPr>
  </w:style>
  <w:style w:type="paragraph" w:styleId="Heading5">
    <w:name w:val="heading 5"/>
    <w:basedOn w:val="Normal"/>
    <w:next w:val="Normal"/>
    <w:link w:val="Heading5Char"/>
    <w:uiPriority w:val="2"/>
    <w:semiHidden/>
    <w:rsid w:val="00C5584B"/>
    <w:pPr>
      <w:numPr>
        <w:ilvl w:val="4"/>
        <w:numId w:val="3"/>
      </w:numPr>
      <w:ind w:left="1009" w:hanging="1009"/>
      <w:outlineLvl w:val="4"/>
    </w:pPr>
    <w:rPr>
      <w:rFonts w:asciiTheme="majorHAnsi" w:hAnsiTheme="majorHAnsi"/>
      <w:color w:val="1F1F5F" w:themeColor="text1"/>
      <w:lang w:eastAsia="en-AU"/>
    </w:rPr>
  </w:style>
  <w:style w:type="paragraph" w:styleId="Heading6">
    <w:name w:val="heading 6"/>
    <w:basedOn w:val="Normal"/>
    <w:next w:val="Normal"/>
    <w:link w:val="Heading6Char"/>
    <w:uiPriority w:val="2"/>
    <w:semiHidden/>
    <w:rsid w:val="00C5584B"/>
    <w:pPr>
      <w:numPr>
        <w:ilvl w:val="5"/>
        <w:numId w:val="3"/>
      </w:numPr>
      <w:ind w:left="1151" w:hanging="1151"/>
      <w:outlineLvl w:val="5"/>
    </w:pPr>
    <w:rPr>
      <w:rFonts w:asciiTheme="majorHAnsi" w:hAnsiTheme="majorHAnsi"/>
      <w:color w:val="606060"/>
      <w:lang w:eastAsia="en-AU"/>
    </w:rPr>
  </w:style>
  <w:style w:type="paragraph" w:styleId="Heading7">
    <w:name w:val="heading 7"/>
    <w:basedOn w:val="Normal"/>
    <w:next w:val="Normal"/>
    <w:link w:val="Heading7Char"/>
    <w:uiPriority w:val="2"/>
    <w:semiHidden/>
    <w:rsid w:val="00C5584B"/>
    <w:pPr>
      <w:numPr>
        <w:ilvl w:val="6"/>
        <w:numId w:val="3"/>
      </w:numPr>
      <w:ind w:left="1298" w:hanging="1298"/>
      <w:outlineLvl w:val="6"/>
    </w:pPr>
    <w:rPr>
      <w:rFonts w:asciiTheme="majorHAnsi" w:hAnsiTheme="majorHAnsi"/>
      <w:color w:val="1F1F5F" w:themeColor="text1"/>
      <w:lang w:eastAsia="en-AU"/>
    </w:rPr>
  </w:style>
  <w:style w:type="paragraph" w:styleId="Heading8">
    <w:name w:val="heading 8"/>
    <w:basedOn w:val="Normal"/>
    <w:next w:val="Normal"/>
    <w:link w:val="Heading8Char"/>
    <w:uiPriority w:val="2"/>
    <w:semiHidden/>
    <w:rsid w:val="00C5584B"/>
    <w:pPr>
      <w:numPr>
        <w:ilvl w:val="7"/>
        <w:numId w:val="3"/>
      </w:numPr>
      <w:outlineLvl w:val="7"/>
    </w:pPr>
    <w:rPr>
      <w:rFonts w:asciiTheme="majorHAnsi" w:hAnsiTheme="majorHAnsi"/>
      <w:color w:val="606060"/>
      <w:lang w:eastAsia="en-AU"/>
    </w:rPr>
  </w:style>
  <w:style w:type="paragraph" w:styleId="Heading9">
    <w:name w:val="heading 9"/>
    <w:basedOn w:val="Normal"/>
    <w:next w:val="Normal"/>
    <w:link w:val="Heading9Char"/>
    <w:uiPriority w:val="2"/>
    <w:semiHidden/>
    <w:rsid w:val="00C5584B"/>
    <w:pPr>
      <w:numPr>
        <w:ilvl w:val="8"/>
        <w:numId w:val="3"/>
      </w:numPr>
      <w:ind w:left="1582" w:hanging="1582"/>
      <w:outlineLvl w:val="8"/>
    </w:pPr>
    <w:rPr>
      <w:rFonts w:asciiTheme="majorHAnsi" w:hAnsiTheme="majorHAnsi"/>
      <w:color w:val="1F1F5F" w:themeColor="text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2"/>
    <w:rsid w:val="00E45536"/>
    <w:rPr>
      <w:rFonts w:asciiTheme="majorHAnsi" w:eastAsiaTheme="majorEastAsia" w:hAnsiTheme="majorHAnsi" w:cstheme="majorBidi"/>
      <w:bCs/>
      <w:color w:val="1F1F5F" w:themeColor="text1"/>
      <w:kern w:val="32"/>
      <w:sz w:val="36"/>
      <w:szCs w:val="32"/>
    </w:rPr>
  </w:style>
  <w:style w:type="character" w:customStyle="1" w:styleId="Heading2Char">
    <w:name w:val="Heading 2 Char"/>
    <w:basedOn w:val="DefaultParagraphFont"/>
    <w:link w:val="Heading2"/>
    <w:uiPriority w:val="2"/>
    <w:rsid w:val="00E45536"/>
    <w:rPr>
      <w:rFonts w:asciiTheme="majorHAnsi" w:eastAsiaTheme="majorEastAsia" w:hAnsiTheme="majorHAnsi" w:cstheme="majorBidi"/>
      <w:bCs/>
      <w:iCs/>
      <w:color w:val="454347"/>
      <w:sz w:val="32"/>
      <w:szCs w:val="32"/>
    </w:rPr>
  </w:style>
  <w:style w:type="paragraph" w:styleId="Title">
    <w:name w:val="Title"/>
    <w:basedOn w:val="Normal"/>
    <w:next w:val="Normal"/>
    <w:link w:val="TitleChar"/>
    <w:qFormat/>
    <w:rsid w:val="00F13212"/>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F13212"/>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E45536"/>
    <w:rPr>
      <w:rFonts w:asciiTheme="majorHAnsi" w:hAnsiTheme="majorHAnsi" w:cs="Arial"/>
      <w:bCs/>
      <w:color w:val="1F1F5F" w:themeColor="text1"/>
      <w:sz w:val="28"/>
      <w:szCs w:val="28"/>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FC16A5"/>
    <w:pPr>
      <w:tabs>
        <w:tab w:val="right" w:pos="10318"/>
      </w:tabs>
      <w:spacing w:after="240"/>
      <w:jc w:val="right"/>
    </w:pPr>
  </w:style>
  <w:style w:type="character" w:customStyle="1" w:styleId="HeaderChar">
    <w:name w:val="Header Char"/>
    <w:aliases w:val="Page header Char"/>
    <w:basedOn w:val="DefaultParagraphFont"/>
    <w:link w:val="Header"/>
    <w:uiPriority w:val="8"/>
    <w:rsid w:val="00FC16A5"/>
    <w:rPr>
      <w:rFonts w:ascii="Lato" w:hAnsi="Lato"/>
    </w:rPr>
  </w:style>
  <w:style w:type="paragraph" w:styleId="Footer">
    <w:name w:val="footer"/>
    <w:basedOn w:val="Normal"/>
    <w:link w:val="FooterChar"/>
    <w:uiPriority w:val="99"/>
    <w:unhideWhenUsed/>
    <w:rsid w:val="004E7885"/>
    <w:pPr>
      <w:tabs>
        <w:tab w:val="center" w:pos="4513"/>
        <w:tab w:val="right" w:pos="9026"/>
      </w:tabs>
      <w:spacing w:after="0"/>
    </w:pPr>
  </w:style>
  <w:style w:type="character" w:customStyle="1" w:styleId="FooterChar">
    <w:name w:val="Footer Char"/>
    <w:basedOn w:val="DefaultParagraphFont"/>
    <w:link w:val="Footer"/>
    <w:uiPriority w:val="99"/>
    <w:rsid w:val="004E7885"/>
    <w:rPr>
      <w:rFonts w:ascii="Lato" w:hAnsi="Lato"/>
    </w:rPr>
  </w:style>
  <w:style w:type="paragraph" w:customStyle="1" w:styleId="Subtitle0">
    <w:name w:val="Sub title"/>
    <w:basedOn w:val="Normal"/>
    <w:uiPriority w:val="1"/>
    <w:qFormat/>
    <w:rsid w:val="00E77ACA"/>
    <w:pPr>
      <w:numPr>
        <w:ilvl w:val="1"/>
      </w:numPr>
      <w:spacing w:after="160"/>
    </w:pPr>
    <w:rPr>
      <w:rFonts w:ascii="Lato Semibold" w:eastAsia="Times New Roman" w:hAnsi="Lato Semibold"/>
      <w:color w:val="127CC0" w:themeColor="accent2"/>
      <w:sz w:val="40"/>
    </w:rPr>
  </w:style>
  <w:style w:type="character" w:customStyle="1" w:styleId="Heading4Char">
    <w:name w:val="Heading 4 Char"/>
    <w:basedOn w:val="DefaultParagraphFont"/>
    <w:link w:val="Heading4"/>
    <w:uiPriority w:val="2"/>
    <w:rsid w:val="00E45536"/>
    <w:rPr>
      <w:rFonts w:asciiTheme="majorHAnsi" w:eastAsiaTheme="majorEastAsia" w:hAnsiTheme="majorHAnsi" w:cstheme="majorBidi"/>
      <w:bCs/>
      <w:iCs/>
      <w:color w:val="454347"/>
      <w:sz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C5584B"/>
    <w:rPr>
      <w:rFonts w:asciiTheme="majorHAnsi" w:hAnsiTheme="majorHAnsi"/>
      <w:color w:val="1F1F5F" w:themeColor="text1"/>
      <w:lang w:eastAsia="en-AU"/>
    </w:rPr>
  </w:style>
  <w:style w:type="character" w:customStyle="1" w:styleId="Heading6Char">
    <w:name w:val="Heading 6 Char"/>
    <w:basedOn w:val="DefaultParagraphFont"/>
    <w:link w:val="Heading6"/>
    <w:uiPriority w:val="2"/>
    <w:semiHidden/>
    <w:rsid w:val="00C5584B"/>
    <w:rPr>
      <w:rFonts w:asciiTheme="majorHAnsi" w:hAnsiTheme="majorHAnsi"/>
      <w:color w:val="606060"/>
      <w:lang w:eastAsia="en-AU"/>
    </w:rPr>
  </w:style>
  <w:style w:type="character" w:customStyle="1" w:styleId="Heading7Char">
    <w:name w:val="Heading 7 Char"/>
    <w:basedOn w:val="DefaultParagraphFont"/>
    <w:link w:val="Heading7"/>
    <w:uiPriority w:val="2"/>
    <w:semiHidden/>
    <w:rsid w:val="00C5584B"/>
    <w:rPr>
      <w:rFonts w:asciiTheme="majorHAnsi" w:hAnsiTheme="majorHAnsi"/>
      <w:color w:val="1F1F5F" w:themeColor="text1"/>
      <w:lang w:eastAsia="en-AU"/>
    </w:rPr>
  </w:style>
  <w:style w:type="character" w:customStyle="1" w:styleId="Heading8Char">
    <w:name w:val="Heading 8 Char"/>
    <w:basedOn w:val="DefaultParagraphFont"/>
    <w:link w:val="Heading8"/>
    <w:uiPriority w:val="2"/>
    <w:semiHidden/>
    <w:rsid w:val="00C5584B"/>
    <w:rPr>
      <w:rFonts w:asciiTheme="majorHAnsi" w:hAnsiTheme="majorHAnsi"/>
      <w:color w:val="606060"/>
      <w:lang w:eastAsia="en-AU"/>
    </w:rPr>
  </w:style>
  <w:style w:type="character" w:customStyle="1" w:styleId="Heading9Char">
    <w:name w:val="Heading 9 Char"/>
    <w:basedOn w:val="DefaultParagraphFont"/>
    <w:link w:val="Heading9"/>
    <w:uiPriority w:val="2"/>
    <w:semiHidden/>
    <w:rsid w:val="00C5584B"/>
    <w:rPr>
      <w:rFonts w:asciiTheme="majorHAnsi" w:hAnsiTheme="majorHAnsi"/>
      <w:color w:val="1F1F5F" w:themeColor="text1"/>
      <w:lang w:eastAsia="en-AU"/>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2F0DB1"/>
    <w:rPr>
      <w:color w:val="0563C1" w:themeColor="hyperlink"/>
      <w:u w:val="single"/>
    </w:rPr>
  </w:style>
  <w:style w:type="paragraph" w:styleId="TOCHeading">
    <w:name w:val="TOC Heading"/>
    <w:basedOn w:val="Heading1"/>
    <w:next w:val="Normal"/>
    <w:uiPriority w:val="39"/>
    <w:semiHidden/>
    <w:qFormat/>
    <w:rsid w:val="00422874"/>
    <w:pPr>
      <w:numPr>
        <w:numId w:val="0"/>
      </w:numPr>
      <w:spacing w:before="480" w:after="0"/>
      <w:outlineLvl w:val="9"/>
    </w:pPr>
    <w:rPr>
      <w:kern w:val="0"/>
      <w:szCs w:val="28"/>
    </w:rPr>
  </w:style>
  <w:style w:type="paragraph" w:styleId="TOC1">
    <w:name w:val="toc 1"/>
    <w:basedOn w:val="Normal"/>
    <w:next w:val="Normal"/>
    <w:autoRedefine/>
    <w:uiPriority w:val="39"/>
    <w:rsid w:val="002F3CF1"/>
    <w:pPr>
      <w:tabs>
        <w:tab w:val="right" w:leader="dot" w:pos="10318"/>
      </w:tabs>
      <w:spacing w:before="120" w:after="100"/>
      <w:ind w:left="425" w:hanging="425"/>
    </w:pPr>
    <w:rPr>
      <w:b/>
    </w:rPr>
  </w:style>
  <w:style w:type="paragraph" w:styleId="TOC2">
    <w:name w:val="toc 2"/>
    <w:basedOn w:val="Normal"/>
    <w:next w:val="Normal"/>
    <w:autoRedefine/>
    <w:uiPriority w:val="39"/>
    <w:rsid w:val="002F3CF1"/>
    <w:pPr>
      <w:tabs>
        <w:tab w:val="left" w:pos="880"/>
        <w:tab w:val="right" w:leader="dot" w:pos="10318"/>
      </w:tabs>
      <w:spacing w:after="100"/>
      <w:ind w:left="220"/>
    </w:pPr>
  </w:style>
  <w:style w:type="paragraph" w:styleId="TOC3">
    <w:name w:val="toc 3"/>
    <w:basedOn w:val="Normal"/>
    <w:next w:val="Normal"/>
    <w:autoRedefine/>
    <w:uiPriority w:val="39"/>
    <w:rsid w:val="007859CD"/>
    <w:pPr>
      <w:spacing w:after="100"/>
      <w:ind w:left="440"/>
    </w:pPr>
  </w:style>
  <w:style w:type="paragraph" w:customStyle="1" w:styleId="Tablebulletlistlevel1">
    <w:name w:val="Table bullet list level 1"/>
    <w:basedOn w:val="Normal"/>
    <w:uiPriority w:val="6"/>
    <w:rsid w:val="00F14273"/>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F14273"/>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table" w:customStyle="1" w:styleId="NTGtable2">
    <w:name w:val="NTG table 2"/>
    <w:basedOn w:val="TableGrid"/>
    <w:uiPriority w:val="99"/>
    <w:rsid w:val="000E38FB"/>
    <w:pPr>
      <w:spacing w:before="40"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TOC4">
    <w:name w:val="toc 4"/>
    <w:basedOn w:val="Normal"/>
    <w:next w:val="Normal"/>
    <w:autoRedefine/>
    <w:uiPriority w:val="39"/>
    <w:rsid w:val="00221220"/>
    <w:pPr>
      <w:spacing w:after="100"/>
      <w:ind w:left="660"/>
    </w:pPr>
  </w:style>
  <w:style w:type="numbering" w:customStyle="1" w:styleId="Numberedlist">
    <w:name w:val="Numbered list"/>
    <w:basedOn w:val="NoList"/>
    <w:rsid w:val="00422874"/>
    <w:pPr>
      <w:numPr>
        <w:numId w:val="9"/>
      </w:numPr>
    </w:pPr>
  </w:style>
  <w:style w:type="paragraph" w:styleId="Caption">
    <w:name w:val="caption"/>
    <w:basedOn w:val="Normal"/>
    <w:next w:val="Normal"/>
    <w:uiPriority w:val="8"/>
    <w:rsid w:val="00AD7557"/>
    <w:rPr>
      <w:iCs/>
      <w:sz w:val="20"/>
      <w:szCs w:val="18"/>
    </w:rPr>
  </w:style>
  <w:style w:type="character" w:styleId="PageNumber">
    <w:name w:val="page number"/>
    <w:aliases w:val="Page number"/>
    <w:basedOn w:val="DefaultParagraphFont"/>
    <w:uiPriority w:val="8"/>
    <w:rsid w:val="00B43C75"/>
    <w:rPr>
      <w:rFonts w:ascii="Lato" w:hAnsi="Lato"/>
      <w:sz w:val="19"/>
    </w:rPr>
  </w:style>
  <w:style w:type="paragraph" w:customStyle="1" w:styleId="Hidden">
    <w:name w:val="Hidden"/>
    <w:basedOn w:val="Normal"/>
    <w:uiPriority w:val="13"/>
    <w:rsid w:val="008A51A3"/>
    <w:pPr>
      <w:spacing w:after="0"/>
      <w:ind w:firstLine="284"/>
    </w:pPr>
    <w:rPr>
      <w:sz w:val="2"/>
      <w:szCs w:val="2"/>
    </w:rPr>
  </w:style>
  <w:style w:type="table" w:customStyle="1" w:styleId="NTGtable1">
    <w:name w:val="NTG table 1"/>
    <w:basedOn w:val="TableNormal"/>
    <w:uiPriority w:val="99"/>
    <w:rsid w:val="00247538"/>
    <w:pPr>
      <w:spacing w:before="40" w:after="40"/>
    </w:pPr>
    <w:rPr>
      <w:rFonts w:ascii="Lato" w:hAnsi="Lato"/>
    </w:rPr>
    <w:tblPr>
      <w:tblStyleRowBandSize w:val="1"/>
      <w:tblStyleCol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color w:val="FFFFFF" w:themeColor="background1"/>
        <w:sz w:val="22"/>
      </w:rPr>
      <w:tblPr/>
      <w:tcPr>
        <w:shd w:val="clear" w:color="auto" w:fill="1F1F5F" w:themeFill="text1"/>
      </w:tcPr>
    </w:tblStylePr>
    <w:tblStylePr w:type="lastRow">
      <w:rPr>
        <w:b/>
        <w:sz w:val="22"/>
      </w:rPr>
      <w:tblPr/>
      <w:tcPr>
        <w:tcBorders>
          <w:top w:val="single" w:sz="4" w:space="0" w:color="1F1F5F" w:themeColor="text1"/>
          <w:left w:val="single" w:sz="4" w:space="0" w:color="1F1F5F" w:themeColor="text1"/>
          <w:bottom w:val="single" w:sz="4" w:space="0" w:color="1F1F5F" w:themeColor="text1"/>
          <w:right w:val="single" w:sz="4" w:space="0" w:color="1F1F5F" w:themeColor="text1"/>
        </w:tcBorders>
      </w:tcPr>
    </w:tblStylePr>
    <w:tblStylePr w:type="firstCol">
      <w:rPr>
        <w:b w:val="0"/>
        <w:sz w:val="22"/>
      </w:rPr>
    </w:tblStylePr>
    <w:tblStylePr w:type="lastCol">
      <w:rPr>
        <w:sz w:val="22"/>
      </w:rPr>
    </w:tblStylePr>
    <w:tblStylePr w:type="band1Vert">
      <w:rPr>
        <w:rFonts w:ascii="Lato" w:hAnsi="Lato"/>
        <w:sz w:val="22"/>
      </w:rPr>
    </w:tblStylePr>
    <w:tblStylePr w:type="band2Vert">
      <w:rPr>
        <w:rFonts w:ascii="Lato" w:hAnsi="Lato"/>
        <w:sz w:val="22"/>
      </w:rPr>
    </w:tblStylePr>
    <w:tblStylePr w:type="band1Horz">
      <w:rPr>
        <w:rFonts w:ascii="Lato" w:hAnsi="Lato"/>
        <w:sz w:val="22"/>
      </w:rPr>
    </w:tblStylePr>
    <w:tblStylePr w:type="band2Horz">
      <w:rPr>
        <w:rFonts w:ascii="Lato" w:hAnsi="Lato"/>
        <w:sz w:val="22"/>
      </w:rPr>
      <w:tblPr/>
      <w:tcPr>
        <w:shd w:val="clear" w:color="auto" w:fill="F2F2F2" w:themeFill="background1" w:themeFillShade="F2"/>
      </w:tcPr>
    </w:tblStylePr>
    <w:tblStylePr w:type="neCell">
      <w:rPr>
        <w:sz w:val="22"/>
      </w:rPr>
    </w:tblStylePr>
    <w:tblStylePr w:type="nwCell">
      <w:rPr>
        <w:sz w:val="22"/>
      </w:rPr>
    </w:tblStylePr>
    <w:tblStylePr w:type="seCell">
      <w:rPr>
        <w:sz w:val="22"/>
      </w:rPr>
    </w:tblStylePr>
    <w:tblStylePr w:type="swCell">
      <w:rPr>
        <w:sz w:val="22"/>
      </w:rPr>
    </w:tblStylePr>
  </w:style>
  <w:style w:type="paragraph" w:styleId="FootnoteText">
    <w:name w:val="footnote text"/>
    <w:basedOn w:val="Normal"/>
    <w:link w:val="FootnoteTextChar"/>
    <w:uiPriority w:val="99"/>
    <w:semiHidden/>
    <w:unhideWhenUsed/>
    <w:rsid w:val="000B6E48"/>
    <w:pPr>
      <w:spacing w:after="0"/>
    </w:pPr>
    <w:rPr>
      <w:sz w:val="20"/>
      <w:szCs w:val="20"/>
    </w:rPr>
  </w:style>
  <w:style w:type="character" w:customStyle="1" w:styleId="FootnoteTextChar">
    <w:name w:val="Footnote Text Char"/>
    <w:basedOn w:val="DefaultParagraphFont"/>
    <w:link w:val="FootnoteText"/>
    <w:uiPriority w:val="99"/>
    <w:semiHidden/>
    <w:rsid w:val="000B6E48"/>
    <w:rPr>
      <w:rFonts w:ascii="Lato" w:hAnsi="Lato"/>
      <w:sz w:val="20"/>
      <w:szCs w:val="20"/>
    </w:rPr>
  </w:style>
  <w:style w:type="character" w:styleId="FootnoteReference">
    <w:name w:val="footnote reference"/>
    <w:basedOn w:val="DefaultParagraphFont"/>
    <w:uiPriority w:val="99"/>
    <w:semiHidden/>
    <w:unhideWhenUsed/>
    <w:rsid w:val="000B6E48"/>
    <w:rPr>
      <w:vertAlign w:val="superscript"/>
    </w:rPr>
  </w:style>
  <w:style w:type="paragraph" w:styleId="EndnoteText">
    <w:name w:val="endnote text"/>
    <w:basedOn w:val="Normal"/>
    <w:link w:val="EndnoteTextChar"/>
    <w:uiPriority w:val="99"/>
    <w:semiHidden/>
    <w:unhideWhenUsed/>
    <w:rsid w:val="00797696"/>
    <w:pPr>
      <w:spacing w:after="0"/>
    </w:pPr>
    <w:rPr>
      <w:sz w:val="20"/>
      <w:szCs w:val="20"/>
    </w:rPr>
  </w:style>
  <w:style w:type="character" w:customStyle="1" w:styleId="EndnoteTextChar">
    <w:name w:val="Endnote Text Char"/>
    <w:basedOn w:val="DefaultParagraphFont"/>
    <w:link w:val="EndnoteText"/>
    <w:uiPriority w:val="99"/>
    <w:semiHidden/>
    <w:rsid w:val="00797696"/>
    <w:rPr>
      <w:rFonts w:ascii="Lato" w:hAnsi="Lato"/>
      <w:sz w:val="20"/>
      <w:szCs w:val="20"/>
    </w:rPr>
  </w:style>
  <w:style w:type="character" w:styleId="EndnoteReference">
    <w:name w:val="endnote reference"/>
    <w:basedOn w:val="DefaultParagraphFont"/>
    <w:uiPriority w:val="99"/>
    <w:semiHidden/>
    <w:unhideWhenUsed/>
    <w:rsid w:val="00797696"/>
    <w:rPr>
      <w:vertAlign w:val="superscript"/>
    </w:rPr>
  </w:style>
  <w:style w:type="paragraph" w:customStyle="1" w:styleId="Default">
    <w:name w:val="Default"/>
    <w:rsid w:val="004C1134"/>
    <w:pPr>
      <w:autoSpaceDE w:val="0"/>
      <w:autoSpaceDN w:val="0"/>
      <w:adjustRightInd w:val="0"/>
      <w:spacing w:after="0"/>
    </w:pPr>
    <w:rPr>
      <w:rFonts w:ascii="FS Me Light" w:eastAsia="Times New Roman" w:hAnsi="FS Me Light" w:cs="FS Me Light"/>
      <w:color w:val="000000"/>
      <w:sz w:val="24"/>
      <w:szCs w:val="24"/>
      <w:lang w:eastAsia="en-AU"/>
    </w:rPr>
  </w:style>
  <w:style w:type="paragraph" w:customStyle="1" w:styleId="Sectiontext">
    <w:name w:val="Section text"/>
    <w:basedOn w:val="Normal"/>
    <w:link w:val="SectiontextChar"/>
    <w:rsid w:val="006B30FB"/>
    <w:pPr>
      <w:widowControl w:val="0"/>
      <w:spacing w:after="240"/>
      <w:ind w:left="1100"/>
      <w:jc w:val="both"/>
    </w:pPr>
    <w:rPr>
      <w:rFonts w:ascii="Helvetica" w:eastAsia="Times New Roman" w:hAnsi="Helvetica"/>
      <w:sz w:val="24"/>
      <w:szCs w:val="24"/>
      <w:lang w:eastAsia="en-AU"/>
    </w:rPr>
  </w:style>
  <w:style w:type="character" w:customStyle="1" w:styleId="SectiontextChar">
    <w:name w:val="Section text Char"/>
    <w:link w:val="Sectiontext"/>
    <w:rsid w:val="006B30FB"/>
    <w:rPr>
      <w:rFonts w:ascii="Helvetica" w:eastAsia="Times New Roman" w:hAnsi="Helvetica"/>
      <w:sz w:val="24"/>
      <w:szCs w:val="24"/>
      <w:lang w:eastAsia="en-AU"/>
    </w:rPr>
  </w:style>
  <w:style w:type="paragraph" w:customStyle="1" w:styleId="Subsection">
    <w:name w:val="Subsection"/>
    <w:basedOn w:val="Sectiontext"/>
    <w:link w:val="SubsectionChar"/>
    <w:rsid w:val="006B30FB"/>
    <w:pPr>
      <w:tabs>
        <w:tab w:val="right" w:pos="902"/>
      </w:tabs>
      <w:ind w:hanging="1100"/>
    </w:pPr>
  </w:style>
  <w:style w:type="character" w:customStyle="1" w:styleId="SubsectionChar">
    <w:name w:val="Subsection Char"/>
    <w:link w:val="Subsection"/>
    <w:rsid w:val="006B30FB"/>
    <w:rPr>
      <w:rFonts w:ascii="Helvetica" w:eastAsia="Times New Roman" w:hAnsi="Helvetica"/>
      <w:sz w:val="24"/>
      <w:szCs w:val="24"/>
      <w:lang w:eastAsia="en-AU"/>
    </w:rPr>
  </w:style>
  <w:style w:type="character" w:customStyle="1" w:styleId="ParagraphChar">
    <w:name w:val="Paragraph Char"/>
    <w:link w:val="Paragraph"/>
    <w:rsid w:val="006B30FB"/>
    <w:rPr>
      <w:rFonts w:ascii="Helvetica" w:hAnsi="Helvetica"/>
      <w:sz w:val="24"/>
      <w:szCs w:val="24"/>
    </w:rPr>
  </w:style>
  <w:style w:type="paragraph" w:customStyle="1" w:styleId="Paragraph">
    <w:name w:val="Paragraph"/>
    <w:basedOn w:val="Normal"/>
    <w:link w:val="ParagraphChar"/>
    <w:rsid w:val="006B30FB"/>
    <w:pPr>
      <w:widowControl w:val="0"/>
      <w:spacing w:after="240"/>
      <w:ind w:left="1667" w:hanging="567"/>
      <w:jc w:val="both"/>
    </w:pPr>
    <w:rPr>
      <w:rFonts w:ascii="Helvetica" w:hAnsi="Helvetica"/>
      <w:sz w:val="24"/>
      <w:szCs w:val="24"/>
    </w:rPr>
  </w:style>
  <w:style w:type="paragraph" w:customStyle="1" w:styleId="Subpara">
    <w:name w:val="Subpara"/>
    <w:basedOn w:val="Paragraph"/>
    <w:link w:val="SubparaChar"/>
    <w:rsid w:val="006B30FB"/>
    <w:pPr>
      <w:ind w:left="2268"/>
    </w:pPr>
  </w:style>
  <w:style w:type="character" w:customStyle="1" w:styleId="SubparaChar">
    <w:name w:val="Subpara Char"/>
    <w:link w:val="Subpara"/>
    <w:rsid w:val="006B30FB"/>
    <w:rPr>
      <w:rFonts w:ascii="Helvetica" w:hAnsi="Helvetic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464549245">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 w:id="211242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ntcat.nt.gov.a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cama\AppData\Local\Microsoft\Windows\Temporary%20Internet%20Files\Content.IE5\Q22SL0F6\ntg-long-block-template_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B93B171E9B48FDA3F76021A0474763"/>
        <w:category>
          <w:name w:val="General"/>
          <w:gallery w:val="placeholder"/>
        </w:category>
        <w:types>
          <w:type w:val="bbPlcHdr"/>
        </w:types>
        <w:behaviors>
          <w:behavior w:val="content"/>
        </w:behaviors>
        <w:guid w:val="{625243F1-97EA-4F17-84FE-F11A16DCC20E}"/>
      </w:docPartPr>
      <w:docPartBody>
        <w:p w:rsidR="00000000" w:rsidRDefault="003F3DD6">
          <w:pPr>
            <w:pStyle w:val="CFB93B171E9B48FDA3F76021A0474763"/>
          </w:pPr>
          <w:r>
            <w:t>&lt;Document title&gt;</w:t>
          </w:r>
        </w:p>
      </w:docPartBody>
    </w:docPart>
    <w:docPart>
      <w:docPartPr>
        <w:name w:val="9F1808838AA843D48A2FB32D6490CAF3"/>
        <w:category>
          <w:name w:val="General"/>
          <w:gallery w:val="placeholder"/>
        </w:category>
        <w:types>
          <w:type w:val="bbPlcHdr"/>
        </w:types>
        <w:behaviors>
          <w:behavior w:val="content"/>
        </w:behaviors>
        <w:guid w:val="{2C8937AF-A4E4-469D-A42D-4B3FAA32FBFC}"/>
      </w:docPartPr>
      <w:docPartBody>
        <w:p w:rsidR="00000000" w:rsidRDefault="003F3DD6">
          <w:pPr>
            <w:pStyle w:val="9F1808838AA843D48A2FB32D6490CAF3"/>
          </w:pPr>
          <w:r w:rsidRPr="004E7885">
            <w:rPr>
              <w:rStyle w:val="PlaceholderText"/>
            </w:rPr>
            <w:t>&lt;Document title&gt;</w:t>
          </w:r>
        </w:p>
      </w:docPartBody>
    </w:docPart>
    <w:docPart>
      <w:docPartPr>
        <w:name w:val="CC2C7E916A7746C9B9B1629F13295151"/>
        <w:category>
          <w:name w:val="General"/>
          <w:gallery w:val="placeholder"/>
        </w:category>
        <w:types>
          <w:type w:val="bbPlcHdr"/>
        </w:types>
        <w:behaviors>
          <w:behavior w:val="content"/>
        </w:behaviors>
        <w:guid w:val="{BEBB8752-4301-4559-98AE-D83A10759652}"/>
      </w:docPartPr>
      <w:docPartBody>
        <w:p w:rsidR="00000000" w:rsidRDefault="003F3DD6">
          <w:pPr>
            <w:pStyle w:val="CC2C7E916A7746C9B9B1629F13295151"/>
          </w:pPr>
          <w:r w:rsidRPr="004E7885">
            <w:rPr>
              <w:rStyle w:val="PlaceholderText"/>
            </w:rPr>
            <w:t>&lt;Document title&gt;</w:t>
          </w:r>
        </w:p>
      </w:docPartBody>
    </w:docPart>
    <w:docPart>
      <w:docPartPr>
        <w:name w:val="047DDFD45B6D4BFF855C62CDA1A41201"/>
        <w:category>
          <w:name w:val="General"/>
          <w:gallery w:val="placeholder"/>
        </w:category>
        <w:types>
          <w:type w:val="bbPlcHdr"/>
        </w:types>
        <w:behaviors>
          <w:behavior w:val="content"/>
        </w:behaviors>
        <w:guid w:val="{D967811F-29F7-4764-887C-9A31884968BF}"/>
      </w:docPartPr>
      <w:docPartBody>
        <w:p w:rsidR="00000000" w:rsidRDefault="0040319B">
          <w:pPr>
            <w:pStyle w:val="047DDFD45B6D4BFF855C62CDA1A41201"/>
          </w:pPr>
          <w:r w:rsidRPr="007B29CC">
            <w:rPr>
              <w:rStyle w:val="PlaceholderText"/>
            </w:rPr>
            <w:t>[Company]</w:t>
          </w:r>
        </w:p>
      </w:docPartBody>
    </w:docPart>
    <w:docPart>
      <w:docPartPr>
        <w:name w:val="0DA4725D68E04F28A839400F2DB3DE06"/>
        <w:category>
          <w:name w:val="General"/>
          <w:gallery w:val="placeholder"/>
        </w:category>
        <w:types>
          <w:type w:val="bbPlcHdr"/>
        </w:types>
        <w:behaviors>
          <w:behavior w:val="content"/>
        </w:behaviors>
        <w:guid w:val="{A8A014C8-E6F6-4036-80E2-157673ED01A9}"/>
      </w:docPartPr>
      <w:docPartBody>
        <w:p w:rsidR="00000000" w:rsidRDefault="0040319B">
          <w:pPr>
            <w:pStyle w:val="0DA4725D68E04F28A839400F2DB3DE06"/>
          </w:pPr>
          <w:r w:rsidRPr="005076E2">
            <w:t>&lt;Date Month Year&gt;</w:t>
          </w:r>
        </w:p>
      </w:docPartBody>
    </w:docPart>
    <w:docPart>
      <w:docPartPr>
        <w:name w:val="D129B6A06EFA43CFAA6D0F64D689F991"/>
        <w:category>
          <w:name w:val="General"/>
          <w:gallery w:val="placeholder"/>
        </w:category>
        <w:types>
          <w:type w:val="bbPlcHdr"/>
        </w:types>
        <w:behaviors>
          <w:behavior w:val="content"/>
        </w:behaviors>
        <w:guid w:val="{761873EE-3B83-4FC9-8EB9-E5C0D1F17E37}"/>
      </w:docPartPr>
      <w:docPartBody>
        <w:p w:rsidR="00000000" w:rsidRDefault="003F3DD6">
          <w:pPr>
            <w:pStyle w:val="D129B6A06EFA43CFAA6D0F64D689F991"/>
          </w:pPr>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o">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FS Me Light">
    <w:altName w:val="FS Me Ligh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FB93B171E9B48FDA3F76021A0474763">
    <w:name w:val="CFB93B171E9B48FDA3F76021A0474763"/>
  </w:style>
  <w:style w:type="character" w:styleId="PlaceholderText">
    <w:name w:val="Placeholder Text"/>
    <w:basedOn w:val="DefaultParagraphFont"/>
    <w:uiPriority w:val="99"/>
    <w:semiHidden/>
    <w:rPr>
      <w:color w:val="808080"/>
    </w:rPr>
  </w:style>
  <w:style w:type="paragraph" w:customStyle="1" w:styleId="9F1808838AA843D48A2FB32D6490CAF3">
    <w:name w:val="9F1808838AA843D48A2FB32D6490CAF3"/>
  </w:style>
  <w:style w:type="paragraph" w:customStyle="1" w:styleId="CC2C7E916A7746C9B9B1629F13295151">
    <w:name w:val="CC2C7E916A7746C9B9B1629F13295151"/>
  </w:style>
  <w:style w:type="paragraph" w:customStyle="1" w:styleId="047DDFD45B6D4BFF855C62CDA1A41201">
    <w:name w:val="047DDFD45B6D4BFF855C62CDA1A41201"/>
  </w:style>
  <w:style w:type="paragraph" w:customStyle="1" w:styleId="0DA4725D68E04F28A839400F2DB3DE06">
    <w:name w:val="0DA4725D68E04F28A839400F2DB3DE06"/>
  </w:style>
  <w:style w:type="paragraph" w:customStyle="1" w:styleId="D129B6A06EFA43CFAA6D0F64D689F991">
    <w:name w:val="D129B6A06EFA43CFAA6D0F64D689F9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branding">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2019-08-27T00:00:00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0F647E-D577-4959-9E56-74180544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ntg-long-block-template_4.dotx</Template>
  <TotalTime>24</TotalTime>
  <Pages>13</Pages>
  <Words>3530</Words>
  <Characters>20125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Health</Company>
  <LinksUpToDate>false</LinksUpToDate>
  <CharactersWithSpaces>23608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Restrictive Practices Authorisation Framework</dc:title>
  <dc:creator>Valli Camara</dc:creator>
  <cp:lastModifiedBy>Valli Camara</cp:lastModifiedBy>
  <cp:revision>1</cp:revision>
  <cp:lastPrinted>2016-02-04T04:37:00Z</cp:lastPrinted>
  <dcterms:created xsi:type="dcterms:W3CDTF">2019-08-28T23:59:00Z</dcterms:created>
  <dcterms:modified xsi:type="dcterms:W3CDTF">2019-08-29T00:33:00Z</dcterms:modified>
</cp:coreProperties>
</file>