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970A" w14:textId="4DCE3C27" w:rsidR="00EE2834" w:rsidRPr="008C7ED5" w:rsidRDefault="00EE2834" w:rsidP="008C7ED5">
      <w:pPr>
        <w:spacing w:after="0" w:line="240" w:lineRule="auto"/>
        <w:jc w:val="right"/>
        <w:rPr>
          <w:rFonts w:eastAsia="Times New Roman" w:cstheme="minorHAnsi"/>
          <w:b/>
          <w:color w:val="FF0000"/>
          <w:sz w:val="60"/>
          <w:szCs w:val="60"/>
        </w:rPr>
      </w:pPr>
    </w:p>
    <w:p w14:paraId="74A72482" w14:textId="77777777" w:rsidR="00EE2834" w:rsidRDefault="00EE2834" w:rsidP="00EE2834">
      <w:pPr>
        <w:spacing w:after="0" w:line="240" w:lineRule="auto"/>
        <w:jc w:val="center"/>
        <w:rPr>
          <w:rFonts w:eastAsia="Times New Roman" w:cstheme="minorHAnsi"/>
          <w:b/>
          <w:sz w:val="60"/>
          <w:szCs w:val="60"/>
        </w:rPr>
      </w:pPr>
    </w:p>
    <w:p w14:paraId="4B30932D" w14:textId="77777777" w:rsidR="00EE2834" w:rsidRDefault="00EE2834" w:rsidP="00EE2834">
      <w:pPr>
        <w:spacing w:after="0" w:line="240" w:lineRule="auto"/>
        <w:jc w:val="center"/>
        <w:rPr>
          <w:rFonts w:eastAsia="Times New Roman" w:cstheme="minorHAnsi"/>
          <w:b/>
          <w:sz w:val="60"/>
          <w:szCs w:val="60"/>
        </w:rPr>
      </w:pPr>
    </w:p>
    <w:p w14:paraId="218AFA3E" w14:textId="77777777" w:rsidR="00EE2834" w:rsidRPr="00EE2834" w:rsidRDefault="00EE2834" w:rsidP="00EE2834">
      <w:pPr>
        <w:spacing w:after="0" w:line="240" w:lineRule="auto"/>
        <w:jc w:val="center"/>
        <w:rPr>
          <w:rFonts w:eastAsia="Times New Roman" w:cstheme="minorHAnsi"/>
          <w:b/>
          <w:sz w:val="60"/>
          <w:szCs w:val="60"/>
        </w:rPr>
      </w:pPr>
      <w:r w:rsidRPr="00EE2834">
        <w:rPr>
          <w:rFonts w:eastAsia="Times New Roman" w:cstheme="minorHAnsi"/>
          <w:b/>
          <w:sz w:val="60"/>
          <w:szCs w:val="60"/>
        </w:rPr>
        <w:t>PHARMACY PREMISES COMMITTEE</w:t>
      </w:r>
    </w:p>
    <w:p w14:paraId="6BAEEEA4" w14:textId="77777777" w:rsidR="00EE2834" w:rsidRPr="00EE2834" w:rsidRDefault="00EE2834" w:rsidP="00EE2834">
      <w:pPr>
        <w:spacing w:after="0" w:line="240" w:lineRule="auto"/>
        <w:jc w:val="center"/>
        <w:rPr>
          <w:rFonts w:eastAsia="Times New Roman" w:cstheme="minorHAnsi"/>
          <w:b/>
          <w:sz w:val="60"/>
          <w:szCs w:val="60"/>
        </w:rPr>
      </w:pPr>
      <w:r w:rsidRPr="00EE2834">
        <w:rPr>
          <w:rFonts w:eastAsia="Times New Roman" w:cstheme="minorHAnsi"/>
          <w:b/>
          <w:sz w:val="60"/>
          <w:szCs w:val="60"/>
        </w:rPr>
        <w:t>OF THE</w:t>
      </w:r>
    </w:p>
    <w:p w14:paraId="31060CC7" w14:textId="77777777" w:rsidR="00EE2834" w:rsidRPr="00EE2834" w:rsidRDefault="00EE2834" w:rsidP="00EE2834">
      <w:pPr>
        <w:spacing w:after="0" w:line="240" w:lineRule="auto"/>
        <w:jc w:val="center"/>
        <w:rPr>
          <w:rFonts w:eastAsia="Times New Roman" w:cstheme="minorHAnsi"/>
          <w:b/>
          <w:sz w:val="60"/>
          <w:szCs w:val="60"/>
        </w:rPr>
      </w:pPr>
      <w:r w:rsidRPr="00EE2834">
        <w:rPr>
          <w:rFonts w:eastAsia="Times New Roman" w:cstheme="minorHAnsi"/>
          <w:b/>
          <w:sz w:val="60"/>
          <w:szCs w:val="60"/>
        </w:rPr>
        <w:t>NORTHERN TERRITORY</w:t>
      </w:r>
    </w:p>
    <w:p w14:paraId="50250A3B" w14:textId="77777777" w:rsidR="00EE2834" w:rsidRPr="00EE2834" w:rsidRDefault="00EE2834" w:rsidP="00EE2834">
      <w:pPr>
        <w:spacing w:after="0" w:line="240" w:lineRule="auto"/>
        <w:jc w:val="center"/>
        <w:rPr>
          <w:rFonts w:eastAsia="Times New Roman" w:cstheme="minorHAnsi"/>
          <w:b/>
          <w:sz w:val="56"/>
          <w:szCs w:val="56"/>
        </w:rPr>
      </w:pPr>
    </w:p>
    <w:p w14:paraId="38064E67" w14:textId="77777777" w:rsidR="00EE2834" w:rsidRPr="00EE2834" w:rsidRDefault="00EE2834" w:rsidP="00EE2834">
      <w:pPr>
        <w:spacing w:after="0" w:line="240" w:lineRule="auto"/>
        <w:jc w:val="center"/>
        <w:rPr>
          <w:rFonts w:eastAsia="Times New Roman" w:cstheme="minorHAnsi"/>
          <w:b/>
          <w:sz w:val="56"/>
          <w:szCs w:val="56"/>
        </w:rPr>
      </w:pPr>
    </w:p>
    <w:p w14:paraId="64FA9E81" w14:textId="77777777" w:rsidR="00EE2834" w:rsidRPr="00EE2834" w:rsidRDefault="00EE2834" w:rsidP="00EE2834">
      <w:pPr>
        <w:spacing w:after="0" w:line="240" w:lineRule="auto"/>
        <w:jc w:val="center"/>
        <w:rPr>
          <w:rFonts w:eastAsia="Times New Roman" w:cstheme="minorHAnsi"/>
          <w:b/>
          <w:sz w:val="56"/>
          <w:szCs w:val="56"/>
        </w:rPr>
      </w:pPr>
    </w:p>
    <w:p w14:paraId="7D9FB9F0" w14:textId="77777777" w:rsidR="001A3FA5" w:rsidRDefault="001A3FA5" w:rsidP="00EE2834">
      <w:pPr>
        <w:spacing w:after="0" w:line="240" w:lineRule="auto"/>
        <w:jc w:val="center"/>
        <w:rPr>
          <w:rFonts w:eastAsia="Times New Roman" w:cstheme="minorHAnsi"/>
          <w:b/>
          <w:sz w:val="60"/>
          <w:szCs w:val="60"/>
        </w:rPr>
      </w:pPr>
      <w:r>
        <w:rPr>
          <w:rFonts w:eastAsia="Times New Roman" w:cstheme="minorHAnsi"/>
          <w:b/>
          <w:sz w:val="60"/>
          <w:szCs w:val="60"/>
        </w:rPr>
        <w:t>PS</w:t>
      </w:r>
      <w:r w:rsidR="006E5BD1">
        <w:rPr>
          <w:rFonts w:eastAsia="Times New Roman" w:cstheme="minorHAnsi"/>
          <w:b/>
          <w:sz w:val="60"/>
          <w:szCs w:val="60"/>
        </w:rPr>
        <w:t>4</w:t>
      </w:r>
    </w:p>
    <w:p w14:paraId="73AD2EC9" w14:textId="77777777" w:rsidR="00EE2834" w:rsidRPr="00EE2834" w:rsidRDefault="00EE2834" w:rsidP="00EE2834">
      <w:pPr>
        <w:spacing w:after="0" w:line="240" w:lineRule="auto"/>
        <w:jc w:val="center"/>
        <w:rPr>
          <w:rFonts w:eastAsia="Times New Roman" w:cstheme="minorHAnsi"/>
          <w:b/>
          <w:sz w:val="60"/>
          <w:szCs w:val="60"/>
        </w:rPr>
      </w:pPr>
      <w:r w:rsidRPr="00EE2834">
        <w:rPr>
          <w:rFonts w:eastAsia="Times New Roman" w:cstheme="minorHAnsi"/>
          <w:b/>
          <w:sz w:val="60"/>
          <w:szCs w:val="60"/>
        </w:rPr>
        <w:t>PREMISES STANDARD</w:t>
      </w:r>
    </w:p>
    <w:p w14:paraId="55E8C5EF" w14:textId="77777777" w:rsidR="00EE2834" w:rsidRPr="00EE2834" w:rsidRDefault="00EE2834" w:rsidP="00EE2834">
      <w:pPr>
        <w:spacing w:after="0" w:line="240" w:lineRule="auto"/>
        <w:jc w:val="center"/>
        <w:rPr>
          <w:rFonts w:eastAsia="Times New Roman" w:cstheme="minorHAnsi"/>
          <w:b/>
          <w:sz w:val="60"/>
          <w:szCs w:val="60"/>
        </w:rPr>
      </w:pPr>
      <w:r w:rsidRPr="00EE2834">
        <w:rPr>
          <w:rFonts w:eastAsia="Times New Roman" w:cstheme="minorHAnsi"/>
          <w:b/>
          <w:sz w:val="60"/>
          <w:szCs w:val="60"/>
        </w:rPr>
        <w:t xml:space="preserve">FOR NORTHERN TERRITORY </w:t>
      </w:r>
      <w:r>
        <w:rPr>
          <w:rFonts w:eastAsia="Times New Roman" w:cstheme="minorHAnsi"/>
          <w:b/>
          <w:sz w:val="60"/>
          <w:szCs w:val="60"/>
        </w:rPr>
        <w:t xml:space="preserve">PROFESSIONAL SERVICES PREMISES </w:t>
      </w:r>
      <w:r w:rsidRPr="00EE2834">
        <w:rPr>
          <w:rFonts w:eastAsia="Times New Roman" w:cstheme="minorHAnsi"/>
          <w:b/>
          <w:sz w:val="60"/>
          <w:szCs w:val="60"/>
        </w:rPr>
        <w:t xml:space="preserve"> </w:t>
      </w:r>
    </w:p>
    <w:p w14:paraId="5DFE57D6" w14:textId="77777777" w:rsidR="00EE2834" w:rsidRDefault="00EE2834" w:rsidP="00EE2834">
      <w:pPr>
        <w:spacing w:after="0" w:line="240" w:lineRule="auto"/>
        <w:jc w:val="center"/>
        <w:rPr>
          <w:rFonts w:eastAsia="Times New Roman" w:cstheme="minorHAnsi"/>
          <w:b/>
          <w:sz w:val="32"/>
          <w:szCs w:val="32"/>
        </w:rPr>
      </w:pPr>
    </w:p>
    <w:p w14:paraId="017C89CF" w14:textId="77777777" w:rsidR="00EE2834" w:rsidRDefault="00EE2834" w:rsidP="00EE2834">
      <w:pPr>
        <w:spacing w:after="0" w:line="240" w:lineRule="auto"/>
        <w:jc w:val="center"/>
        <w:rPr>
          <w:rFonts w:eastAsia="Times New Roman" w:cstheme="minorHAnsi"/>
          <w:b/>
          <w:sz w:val="32"/>
          <w:szCs w:val="32"/>
        </w:rPr>
      </w:pPr>
    </w:p>
    <w:p w14:paraId="21BF6E3E" w14:textId="5BE418FB" w:rsidR="00EE2834" w:rsidRPr="00B03880" w:rsidRDefault="00EE2834" w:rsidP="00EE2834">
      <w:pPr>
        <w:spacing w:after="0" w:line="240" w:lineRule="auto"/>
        <w:jc w:val="center"/>
        <w:rPr>
          <w:rFonts w:eastAsia="Times New Roman" w:cstheme="minorHAnsi"/>
          <w:b/>
          <w:sz w:val="32"/>
          <w:szCs w:val="32"/>
        </w:rPr>
      </w:pPr>
      <w:r w:rsidRPr="0074681C">
        <w:rPr>
          <w:rFonts w:eastAsia="Times New Roman" w:cstheme="minorHAnsi"/>
          <w:b/>
          <w:sz w:val="32"/>
          <w:szCs w:val="32"/>
        </w:rPr>
        <w:t xml:space="preserve">Version </w:t>
      </w:r>
      <w:r w:rsidR="00907875" w:rsidRPr="0074681C">
        <w:rPr>
          <w:rFonts w:eastAsia="Times New Roman" w:cstheme="minorHAnsi"/>
          <w:b/>
          <w:sz w:val="32"/>
          <w:szCs w:val="32"/>
        </w:rPr>
        <w:t>2</w:t>
      </w:r>
      <w:r w:rsidR="00C3526C" w:rsidRPr="00B03880">
        <w:rPr>
          <w:rFonts w:eastAsia="Times New Roman" w:cstheme="minorHAnsi"/>
          <w:b/>
          <w:sz w:val="32"/>
          <w:szCs w:val="32"/>
        </w:rPr>
        <w:t>.1</w:t>
      </w:r>
    </w:p>
    <w:p w14:paraId="47F50229" w14:textId="77777777" w:rsidR="00EE2834" w:rsidRPr="00EE2834" w:rsidRDefault="00EE2834" w:rsidP="00EE2834">
      <w:pPr>
        <w:rPr>
          <w:rFonts w:eastAsia="Times New Roman" w:cstheme="minorHAnsi"/>
          <w:b/>
          <w:sz w:val="28"/>
          <w:szCs w:val="24"/>
        </w:rPr>
      </w:pPr>
      <w:r w:rsidRPr="00EE2834">
        <w:rPr>
          <w:rFonts w:eastAsia="Times New Roman" w:cstheme="minorHAnsi"/>
          <w:b/>
          <w:sz w:val="28"/>
          <w:szCs w:val="24"/>
        </w:rPr>
        <w:br w:type="page"/>
      </w:r>
    </w:p>
    <w:tbl>
      <w:tblPr>
        <w:tblW w:w="9356"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22"/>
        <w:gridCol w:w="1134"/>
      </w:tblGrid>
      <w:tr w:rsidR="00EE2834" w:rsidRPr="00EE2834" w14:paraId="25018A66" w14:textId="77777777" w:rsidTr="0002197E">
        <w:trPr>
          <w:trHeight w:val="290"/>
        </w:trPr>
        <w:tc>
          <w:tcPr>
            <w:tcW w:w="9356" w:type="dxa"/>
            <w:gridSpan w:val="2"/>
            <w:vAlign w:val="center"/>
          </w:tcPr>
          <w:p w14:paraId="1D60C8BC" w14:textId="77777777" w:rsidR="00EE2834" w:rsidRPr="00EE2834" w:rsidRDefault="00EE2834" w:rsidP="00EE2834">
            <w:pPr>
              <w:autoSpaceDE w:val="0"/>
              <w:autoSpaceDN w:val="0"/>
              <w:adjustRightInd w:val="0"/>
              <w:spacing w:after="0" w:line="240" w:lineRule="auto"/>
              <w:jc w:val="center"/>
              <w:rPr>
                <w:rFonts w:ascii="Calibri" w:eastAsia="Times New Roman" w:hAnsi="Calibri" w:cs="Arial"/>
                <w:b/>
                <w:bCs/>
                <w:color w:val="000000"/>
                <w:sz w:val="32"/>
                <w:szCs w:val="32"/>
                <w:lang w:eastAsia="en-AU"/>
              </w:rPr>
            </w:pPr>
            <w:r w:rsidRPr="00EE2834">
              <w:rPr>
                <w:rFonts w:ascii="Calibri" w:eastAsia="Times New Roman" w:hAnsi="Calibri" w:cs="Arial Black"/>
                <w:b/>
                <w:bCs/>
                <w:color w:val="000000"/>
                <w:sz w:val="32"/>
                <w:szCs w:val="32"/>
                <w:lang w:eastAsia="en-AU"/>
              </w:rPr>
              <w:lastRenderedPageBreak/>
              <w:t xml:space="preserve">                                        Table of Contents                                       </w:t>
            </w:r>
            <w:r w:rsidRPr="00EE2834">
              <w:rPr>
                <w:rFonts w:ascii="Calibri" w:eastAsia="Times New Roman" w:hAnsi="Calibri" w:cs="Arial"/>
                <w:b/>
                <w:bCs/>
                <w:color w:val="000000"/>
                <w:sz w:val="28"/>
                <w:szCs w:val="28"/>
                <w:lang w:eastAsia="en-AU"/>
              </w:rPr>
              <w:t>Page</w:t>
            </w:r>
          </w:p>
        </w:tc>
      </w:tr>
      <w:tr w:rsidR="00EE2834" w:rsidRPr="00EE2834" w14:paraId="64E88990" w14:textId="77777777" w:rsidTr="0002197E">
        <w:trPr>
          <w:trHeight w:val="510"/>
        </w:trPr>
        <w:tc>
          <w:tcPr>
            <w:tcW w:w="8222" w:type="dxa"/>
            <w:vAlign w:val="center"/>
          </w:tcPr>
          <w:p w14:paraId="47272413" w14:textId="77777777" w:rsidR="00EE2834" w:rsidRPr="00EE2834" w:rsidRDefault="00EE2834" w:rsidP="00EE2834">
            <w:pPr>
              <w:numPr>
                <w:ilvl w:val="0"/>
                <w:numId w:val="15"/>
              </w:numPr>
              <w:autoSpaceDE w:val="0"/>
              <w:autoSpaceDN w:val="0"/>
              <w:adjustRightInd w:val="0"/>
              <w:spacing w:before="120" w:after="0" w:line="240" w:lineRule="auto"/>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General Information</w:t>
            </w:r>
          </w:p>
        </w:tc>
        <w:tc>
          <w:tcPr>
            <w:tcW w:w="1134" w:type="dxa"/>
            <w:vAlign w:val="center"/>
          </w:tcPr>
          <w:p w14:paraId="439FCF82" w14:textId="77777777" w:rsidR="00EE2834" w:rsidRPr="00EE2834" w:rsidRDefault="00EE2834"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3</w:t>
            </w:r>
          </w:p>
        </w:tc>
      </w:tr>
      <w:tr w:rsidR="00EE2834" w:rsidRPr="00EE2834" w14:paraId="2CFE6FFD" w14:textId="77777777" w:rsidTr="0002197E">
        <w:trPr>
          <w:trHeight w:val="510"/>
        </w:trPr>
        <w:tc>
          <w:tcPr>
            <w:tcW w:w="8222" w:type="dxa"/>
            <w:vAlign w:val="center"/>
          </w:tcPr>
          <w:p w14:paraId="47F24343" w14:textId="77777777" w:rsidR="00EE2834" w:rsidRPr="00EE2834" w:rsidRDefault="00EE2834" w:rsidP="00EE2834">
            <w:pPr>
              <w:numPr>
                <w:ilvl w:val="0"/>
                <w:numId w:val="15"/>
              </w:numPr>
              <w:autoSpaceDE w:val="0"/>
              <w:autoSpaceDN w:val="0"/>
              <w:adjustRightInd w:val="0"/>
              <w:spacing w:before="120" w:after="0" w:line="240" w:lineRule="auto"/>
              <w:contextualSpacing/>
              <w:rPr>
                <w:rFonts w:eastAsia="Times New Roman" w:cstheme="minorHAnsi"/>
                <w:b/>
                <w:bCs/>
                <w:color w:val="000000"/>
                <w:sz w:val="24"/>
                <w:szCs w:val="24"/>
              </w:rPr>
            </w:pPr>
            <w:r>
              <w:rPr>
                <w:rFonts w:eastAsia="Times New Roman" w:cstheme="minorHAnsi"/>
                <w:b/>
                <w:bCs/>
                <w:color w:val="000000"/>
                <w:sz w:val="24"/>
                <w:szCs w:val="24"/>
              </w:rPr>
              <w:t>Consideration</w:t>
            </w:r>
          </w:p>
        </w:tc>
        <w:tc>
          <w:tcPr>
            <w:tcW w:w="1134" w:type="dxa"/>
            <w:vAlign w:val="center"/>
          </w:tcPr>
          <w:p w14:paraId="340B3509" w14:textId="77777777" w:rsidR="00EE2834" w:rsidRPr="00EE2834" w:rsidRDefault="00EE2834"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3</w:t>
            </w:r>
          </w:p>
        </w:tc>
      </w:tr>
      <w:tr w:rsidR="00EE2834" w:rsidRPr="00EE2834" w14:paraId="4F8A24FF" w14:textId="77777777" w:rsidTr="0002197E">
        <w:trPr>
          <w:trHeight w:val="510"/>
        </w:trPr>
        <w:tc>
          <w:tcPr>
            <w:tcW w:w="8222" w:type="dxa"/>
            <w:vAlign w:val="center"/>
          </w:tcPr>
          <w:p w14:paraId="381B0EF5" w14:textId="77777777" w:rsidR="00EE2834" w:rsidRPr="00EE2834" w:rsidRDefault="00EE2834" w:rsidP="00EE2834">
            <w:pPr>
              <w:numPr>
                <w:ilvl w:val="0"/>
                <w:numId w:val="15"/>
              </w:numPr>
              <w:autoSpaceDE w:val="0"/>
              <w:autoSpaceDN w:val="0"/>
              <w:adjustRightInd w:val="0"/>
              <w:spacing w:before="120" w:after="0" w:line="240" w:lineRule="auto"/>
              <w:contextualSpacing/>
              <w:rPr>
                <w:rFonts w:eastAsia="Times New Roman" w:cstheme="minorHAnsi"/>
                <w:b/>
                <w:bCs/>
                <w:color w:val="000000"/>
                <w:sz w:val="24"/>
                <w:szCs w:val="24"/>
              </w:rPr>
            </w:pPr>
            <w:r>
              <w:rPr>
                <w:rFonts w:eastAsia="Times New Roman" w:cstheme="minorHAnsi"/>
                <w:b/>
                <w:bCs/>
                <w:color w:val="000000"/>
                <w:sz w:val="24"/>
                <w:szCs w:val="24"/>
              </w:rPr>
              <w:t>Overview</w:t>
            </w:r>
          </w:p>
        </w:tc>
        <w:tc>
          <w:tcPr>
            <w:tcW w:w="1134" w:type="dxa"/>
            <w:vAlign w:val="center"/>
          </w:tcPr>
          <w:p w14:paraId="0119A2E0" w14:textId="77777777" w:rsidR="00EE2834" w:rsidRPr="00EE2834" w:rsidRDefault="00EE2834"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3</w:t>
            </w:r>
          </w:p>
        </w:tc>
      </w:tr>
      <w:tr w:rsidR="00EE2834" w:rsidRPr="00EE2834" w14:paraId="01D1A2B4" w14:textId="77777777" w:rsidTr="0002197E">
        <w:trPr>
          <w:trHeight w:val="510"/>
        </w:trPr>
        <w:tc>
          <w:tcPr>
            <w:tcW w:w="8222" w:type="dxa"/>
            <w:vAlign w:val="center"/>
          </w:tcPr>
          <w:p w14:paraId="01BA1845" w14:textId="77777777" w:rsidR="00EE2834" w:rsidRPr="00EE2834" w:rsidRDefault="00EE2834" w:rsidP="00EE2834">
            <w:pPr>
              <w:numPr>
                <w:ilvl w:val="0"/>
                <w:numId w:val="15"/>
              </w:numPr>
              <w:autoSpaceDE w:val="0"/>
              <w:autoSpaceDN w:val="0"/>
              <w:adjustRightInd w:val="0"/>
              <w:spacing w:before="120" w:after="0" w:line="240" w:lineRule="auto"/>
              <w:contextualSpacing/>
              <w:rPr>
                <w:rFonts w:eastAsia="Times New Roman" w:cstheme="minorHAnsi"/>
                <w:b/>
                <w:bCs/>
                <w:color w:val="000000"/>
                <w:sz w:val="24"/>
                <w:szCs w:val="24"/>
              </w:rPr>
            </w:pPr>
            <w:r w:rsidRPr="00EE2834">
              <w:rPr>
                <w:rFonts w:eastAsia="Times New Roman" w:cstheme="minorHAnsi"/>
                <w:b/>
                <w:bCs/>
                <w:color w:val="000000"/>
                <w:sz w:val="24"/>
                <w:szCs w:val="24"/>
              </w:rPr>
              <w:t>Security</w:t>
            </w:r>
          </w:p>
        </w:tc>
        <w:tc>
          <w:tcPr>
            <w:tcW w:w="1134" w:type="dxa"/>
            <w:vAlign w:val="center"/>
          </w:tcPr>
          <w:p w14:paraId="5B41AE89"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3</w:t>
            </w:r>
          </w:p>
        </w:tc>
      </w:tr>
      <w:tr w:rsidR="00EE2834" w:rsidRPr="00EE2834" w14:paraId="09DA8319" w14:textId="77777777" w:rsidTr="0002197E">
        <w:trPr>
          <w:trHeight w:val="510"/>
        </w:trPr>
        <w:tc>
          <w:tcPr>
            <w:tcW w:w="8222" w:type="dxa"/>
            <w:vAlign w:val="center"/>
          </w:tcPr>
          <w:p w14:paraId="625B9134" w14:textId="77777777" w:rsidR="00EE2834" w:rsidRPr="00EE2834" w:rsidRDefault="00EE2834" w:rsidP="00E7212D">
            <w:pPr>
              <w:autoSpaceDE w:val="0"/>
              <w:autoSpaceDN w:val="0"/>
              <w:adjustRightInd w:val="0"/>
              <w:spacing w:after="0" w:line="240" w:lineRule="auto"/>
              <w:ind w:left="176" w:firstLine="284"/>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4.1  Physical Security</w:t>
            </w:r>
          </w:p>
        </w:tc>
        <w:tc>
          <w:tcPr>
            <w:tcW w:w="1134" w:type="dxa"/>
            <w:vAlign w:val="center"/>
          </w:tcPr>
          <w:p w14:paraId="6DDE7279"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3</w:t>
            </w:r>
          </w:p>
        </w:tc>
      </w:tr>
      <w:tr w:rsidR="00EE2834" w:rsidRPr="00EE2834" w14:paraId="0437EBA7" w14:textId="77777777" w:rsidTr="0002197E">
        <w:trPr>
          <w:trHeight w:val="510"/>
        </w:trPr>
        <w:tc>
          <w:tcPr>
            <w:tcW w:w="8222" w:type="dxa"/>
            <w:vAlign w:val="center"/>
          </w:tcPr>
          <w:p w14:paraId="1EE4025E" w14:textId="77777777" w:rsidR="00EE2834" w:rsidRPr="00EE2834" w:rsidRDefault="00EE2834" w:rsidP="00E7212D">
            <w:pPr>
              <w:autoSpaceDE w:val="0"/>
              <w:autoSpaceDN w:val="0"/>
              <w:adjustRightInd w:val="0"/>
              <w:spacing w:after="0" w:line="240" w:lineRule="auto"/>
              <w:ind w:left="176" w:firstLine="284"/>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4.2  Alarm Systems</w:t>
            </w:r>
          </w:p>
        </w:tc>
        <w:tc>
          <w:tcPr>
            <w:tcW w:w="1134" w:type="dxa"/>
            <w:vAlign w:val="center"/>
          </w:tcPr>
          <w:p w14:paraId="2C3B910A"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4</w:t>
            </w:r>
          </w:p>
        </w:tc>
      </w:tr>
      <w:tr w:rsidR="00EE2834" w:rsidRPr="00EE2834" w14:paraId="1556BB73" w14:textId="77777777" w:rsidTr="0002197E">
        <w:trPr>
          <w:trHeight w:val="510"/>
        </w:trPr>
        <w:tc>
          <w:tcPr>
            <w:tcW w:w="8222" w:type="dxa"/>
            <w:vAlign w:val="center"/>
          </w:tcPr>
          <w:p w14:paraId="70580FED" w14:textId="26BA77CA" w:rsidR="00EE2834" w:rsidRPr="00EE2834" w:rsidRDefault="00EE2834" w:rsidP="00EE2834">
            <w:pPr>
              <w:numPr>
                <w:ilvl w:val="0"/>
                <w:numId w:val="15"/>
              </w:numPr>
              <w:autoSpaceDE w:val="0"/>
              <w:autoSpaceDN w:val="0"/>
              <w:adjustRightInd w:val="0"/>
              <w:spacing w:before="120" w:after="0" w:line="240" w:lineRule="auto"/>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Access</w:t>
            </w:r>
          </w:p>
        </w:tc>
        <w:tc>
          <w:tcPr>
            <w:tcW w:w="1134" w:type="dxa"/>
            <w:vAlign w:val="center"/>
          </w:tcPr>
          <w:p w14:paraId="7D67E204"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4</w:t>
            </w:r>
          </w:p>
        </w:tc>
      </w:tr>
      <w:tr w:rsidR="00EE2834" w:rsidRPr="00EE2834" w14:paraId="35F8FCDC" w14:textId="77777777" w:rsidTr="0002197E">
        <w:trPr>
          <w:trHeight w:val="510"/>
        </w:trPr>
        <w:tc>
          <w:tcPr>
            <w:tcW w:w="8222" w:type="dxa"/>
            <w:vAlign w:val="center"/>
          </w:tcPr>
          <w:p w14:paraId="3B61F854" w14:textId="77777777" w:rsidR="00EE2834" w:rsidRPr="00EE2834" w:rsidRDefault="00EE2834" w:rsidP="00EE2834">
            <w:pPr>
              <w:numPr>
                <w:ilvl w:val="0"/>
                <w:numId w:val="15"/>
              </w:numPr>
              <w:autoSpaceDE w:val="0"/>
              <w:autoSpaceDN w:val="0"/>
              <w:adjustRightInd w:val="0"/>
              <w:spacing w:before="120" w:after="0" w:line="240" w:lineRule="auto"/>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Lighting</w:t>
            </w:r>
          </w:p>
        </w:tc>
        <w:tc>
          <w:tcPr>
            <w:tcW w:w="1134" w:type="dxa"/>
            <w:vAlign w:val="center"/>
          </w:tcPr>
          <w:p w14:paraId="38808848"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4</w:t>
            </w:r>
          </w:p>
        </w:tc>
      </w:tr>
      <w:tr w:rsidR="00EE2834" w:rsidRPr="00EE2834" w14:paraId="325F669F" w14:textId="77777777" w:rsidTr="0002197E">
        <w:trPr>
          <w:trHeight w:val="510"/>
        </w:trPr>
        <w:tc>
          <w:tcPr>
            <w:tcW w:w="8222" w:type="dxa"/>
            <w:vAlign w:val="center"/>
          </w:tcPr>
          <w:p w14:paraId="2C09616F" w14:textId="77777777" w:rsidR="00EE2834" w:rsidRPr="00EE2834" w:rsidRDefault="00EE2834" w:rsidP="00EE2834">
            <w:pPr>
              <w:numPr>
                <w:ilvl w:val="0"/>
                <w:numId w:val="15"/>
              </w:numPr>
              <w:autoSpaceDE w:val="0"/>
              <w:autoSpaceDN w:val="0"/>
              <w:adjustRightInd w:val="0"/>
              <w:spacing w:before="120" w:after="0" w:line="240" w:lineRule="auto"/>
              <w:contextualSpacing/>
              <w:rPr>
                <w:rFonts w:eastAsia="Times New Roman" w:cstheme="minorHAnsi"/>
                <w:b/>
                <w:bCs/>
                <w:color w:val="000000"/>
                <w:sz w:val="24"/>
                <w:szCs w:val="24"/>
              </w:rPr>
            </w:pPr>
            <w:r w:rsidRPr="00EE2834">
              <w:rPr>
                <w:rFonts w:eastAsia="Times New Roman" w:cstheme="minorHAnsi"/>
                <w:b/>
                <w:bCs/>
                <w:color w:val="000000"/>
                <w:sz w:val="24"/>
                <w:szCs w:val="24"/>
              </w:rPr>
              <w:t>Temperature Control</w:t>
            </w:r>
          </w:p>
        </w:tc>
        <w:tc>
          <w:tcPr>
            <w:tcW w:w="1134" w:type="dxa"/>
            <w:vAlign w:val="center"/>
          </w:tcPr>
          <w:p w14:paraId="7EEBAD2C"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4</w:t>
            </w:r>
          </w:p>
        </w:tc>
      </w:tr>
      <w:tr w:rsidR="00EE2834" w:rsidRPr="00EE2834" w14:paraId="788C98BA" w14:textId="77777777" w:rsidTr="0002197E">
        <w:trPr>
          <w:trHeight w:val="510"/>
        </w:trPr>
        <w:tc>
          <w:tcPr>
            <w:tcW w:w="8222" w:type="dxa"/>
            <w:vAlign w:val="center"/>
          </w:tcPr>
          <w:p w14:paraId="10F0C27F" w14:textId="5CCCE374" w:rsidR="00EE2834" w:rsidRPr="00EE2834" w:rsidRDefault="008811A7" w:rsidP="00EE2834">
            <w:pPr>
              <w:numPr>
                <w:ilvl w:val="0"/>
                <w:numId w:val="15"/>
              </w:numPr>
              <w:autoSpaceDE w:val="0"/>
              <w:autoSpaceDN w:val="0"/>
              <w:adjustRightInd w:val="0"/>
              <w:spacing w:before="120" w:after="0" w:line="240" w:lineRule="auto"/>
              <w:contextualSpacing/>
              <w:rPr>
                <w:rFonts w:eastAsia="Times New Roman" w:cstheme="minorHAnsi"/>
                <w:b/>
                <w:bCs/>
                <w:color w:val="000000"/>
                <w:sz w:val="24"/>
                <w:szCs w:val="24"/>
              </w:rPr>
            </w:pPr>
            <w:r>
              <w:rPr>
                <w:rFonts w:eastAsia="Times New Roman" w:cstheme="minorHAnsi"/>
                <w:b/>
                <w:bCs/>
                <w:color w:val="000000"/>
                <w:sz w:val="24"/>
                <w:szCs w:val="24"/>
              </w:rPr>
              <w:t>Dispensary/DAA/Compounding Preparation Area</w:t>
            </w:r>
          </w:p>
        </w:tc>
        <w:tc>
          <w:tcPr>
            <w:tcW w:w="1134" w:type="dxa"/>
            <w:vAlign w:val="center"/>
          </w:tcPr>
          <w:p w14:paraId="7F6248B7" w14:textId="77777777" w:rsidR="00EE2834" w:rsidRPr="00EE2834" w:rsidRDefault="00465FCB"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5</w:t>
            </w:r>
          </w:p>
        </w:tc>
      </w:tr>
      <w:tr w:rsidR="00EE2834" w:rsidRPr="00EE2834" w14:paraId="20B844E7" w14:textId="77777777" w:rsidTr="0002197E">
        <w:trPr>
          <w:trHeight w:val="510"/>
        </w:trPr>
        <w:tc>
          <w:tcPr>
            <w:tcW w:w="8222" w:type="dxa"/>
            <w:vAlign w:val="center"/>
          </w:tcPr>
          <w:p w14:paraId="5FD4D8A7" w14:textId="77777777" w:rsidR="00EE2834" w:rsidRPr="00EE2834" w:rsidRDefault="00EE2834" w:rsidP="00EE2834">
            <w:pPr>
              <w:numPr>
                <w:ilvl w:val="0"/>
                <w:numId w:val="15"/>
              </w:numPr>
              <w:autoSpaceDE w:val="0"/>
              <w:autoSpaceDN w:val="0"/>
              <w:adjustRightInd w:val="0"/>
              <w:spacing w:before="120" w:after="0" w:line="240" w:lineRule="auto"/>
              <w:rPr>
                <w:rFonts w:eastAsia="Times New Roman" w:cstheme="minorHAnsi"/>
                <w:b/>
                <w:bCs/>
                <w:color w:val="000000"/>
                <w:sz w:val="24"/>
                <w:szCs w:val="24"/>
                <w:lang w:eastAsia="en-AU"/>
              </w:rPr>
            </w:pPr>
            <w:r w:rsidRPr="00EE2834">
              <w:rPr>
                <w:rFonts w:eastAsia="Times New Roman" w:cstheme="minorHAnsi"/>
                <w:b/>
                <w:bCs/>
                <w:color w:val="000000"/>
                <w:sz w:val="24"/>
                <w:szCs w:val="24"/>
                <w:lang w:eastAsia="en-AU"/>
              </w:rPr>
              <w:t>Schedule 8 Safe</w:t>
            </w:r>
          </w:p>
        </w:tc>
        <w:tc>
          <w:tcPr>
            <w:tcW w:w="1134" w:type="dxa"/>
            <w:vAlign w:val="center"/>
          </w:tcPr>
          <w:p w14:paraId="03885883" w14:textId="52E8E64E" w:rsidR="00EE2834" w:rsidRPr="00EE2834" w:rsidRDefault="008811A7" w:rsidP="00EE2834">
            <w:pPr>
              <w:autoSpaceDE w:val="0"/>
              <w:autoSpaceDN w:val="0"/>
              <w:adjustRightInd w:val="0"/>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5</w:t>
            </w:r>
          </w:p>
        </w:tc>
      </w:tr>
      <w:tr w:rsidR="00EE2834" w:rsidRPr="00EE2834" w14:paraId="5F80DED4" w14:textId="77777777" w:rsidTr="0002197E">
        <w:trPr>
          <w:trHeight w:val="510"/>
        </w:trPr>
        <w:tc>
          <w:tcPr>
            <w:tcW w:w="8222" w:type="dxa"/>
            <w:vAlign w:val="center"/>
          </w:tcPr>
          <w:p w14:paraId="583804F1" w14:textId="77777777" w:rsidR="00EE2834" w:rsidRPr="00EE2834" w:rsidRDefault="00EE2834" w:rsidP="00EE2834">
            <w:pPr>
              <w:numPr>
                <w:ilvl w:val="0"/>
                <w:numId w:val="15"/>
              </w:numPr>
              <w:spacing w:before="120" w:after="0" w:line="240" w:lineRule="auto"/>
              <w:contextualSpacing/>
              <w:rPr>
                <w:rFonts w:eastAsia="Times New Roman" w:cstheme="minorHAnsi"/>
                <w:b/>
                <w:bCs/>
                <w:sz w:val="24"/>
                <w:szCs w:val="24"/>
              </w:rPr>
            </w:pPr>
            <w:r w:rsidRPr="00EE2834">
              <w:rPr>
                <w:rFonts w:eastAsia="Times New Roman" w:cstheme="minorHAnsi"/>
                <w:b/>
                <w:bCs/>
                <w:sz w:val="24"/>
                <w:szCs w:val="24"/>
              </w:rPr>
              <w:t xml:space="preserve">Refrigerator </w:t>
            </w:r>
          </w:p>
        </w:tc>
        <w:tc>
          <w:tcPr>
            <w:tcW w:w="1134" w:type="dxa"/>
            <w:vAlign w:val="center"/>
          </w:tcPr>
          <w:p w14:paraId="78228623" w14:textId="6D75E864" w:rsidR="00EE2834" w:rsidRPr="00EE2834" w:rsidRDefault="008811A7" w:rsidP="00EE2834">
            <w:pPr>
              <w:spacing w:after="0" w:line="240" w:lineRule="auto"/>
              <w:jc w:val="center"/>
              <w:rPr>
                <w:rFonts w:eastAsia="Times New Roman" w:cstheme="minorHAnsi"/>
                <w:b/>
                <w:sz w:val="24"/>
                <w:szCs w:val="24"/>
              </w:rPr>
            </w:pPr>
            <w:r>
              <w:rPr>
                <w:rFonts w:eastAsia="Times New Roman" w:cstheme="minorHAnsi"/>
                <w:b/>
                <w:sz w:val="24"/>
                <w:szCs w:val="24"/>
              </w:rPr>
              <w:t>5</w:t>
            </w:r>
          </w:p>
        </w:tc>
      </w:tr>
      <w:tr w:rsidR="00EE2834" w:rsidRPr="00EE2834" w14:paraId="38B5F81C" w14:textId="77777777" w:rsidTr="0002197E">
        <w:trPr>
          <w:trHeight w:val="510"/>
        </w:trPr>
        <w:tc>
          <w:tcPr>
            <w:tcW w:w="8222" w:type="dxa"/>
            <w:vAlign w:val="center"/>
          </w:tcPr>
          <w:p w14:paraId="6DF15D6E" w14:textId="77777777" w:rsidR="00EE2834" w:rsidRPr="00EE2834" w:rsidRDefault="00EE2834" w:rsidP="00EE2834">
            <w:pPr>
              <w:numPr>
                <w:ilvl w:val="0"/>
                <w:numId w:val="15"/>
              </w:numPr>
              <w:spacing w:before="120" w:after="0" w:line="240" w:lineRule="auto"/>
              <w:contextualSpacing/>
              <w:rPr>
                <w:rFonts w:eastAsia="Times New Roman" w:cstheme="minorHAnsi"/>
                <w:b/>
                <w:bCs/>
                <w:sz w:val="24"/>
                <w:szCs w:val="24"/>
              </w:rPr>
            </w:pPr>
            <w:r w:rsidRPr="00EE2834">
              <w:rPr>
                <w:rFonts w:eastAsia="Times New Roman" w:cstheme="minorHAnsi"/>
                <w:b/>
                <w:bCs/>
                <w:sz w:val="24"/>
                <w:szCs w:val="24"/>
              </w:rPr>
              <w:t>Sinks</w:t>
            </w:r>
          </w:p>
        </w:tc>
        <w:tc>
          <w:tcPr>
            <w:tcW w:w="1134" w:type="dxa"/>
            <w:vAlign w:val="center"/>
          </w:tcPr>
          <w:p w14:paraId="5F9A2CCF" w14:textId="4AFBFA9C" w:rsidR="00EE2834" w:rsidRPr="00EE2834" w:rsidRDefault="008811A7" w:rsidP="00EE2834">
            <w:pPr>
              <w:spacing w:after="0" w:line="240" w:lineRule="auto"/>
              <w:jc w:val="center"/>
              <w:rPr>
                <w:rFonts w:eastAsia="Times New Roman" w:cstheme="minorHAnsi"/>
                <w:b/>
                <w:sz w:val="24"/>
                <w:szCs w:val="24"/>
              </w:rPr>
            </w:pPr>
            <w:r>
              <w:rPr>
                <w:rFonts w:eastAsia="Times New Roman" w:cstheme="minorHAnsi"/>
                <w:b/>
                <w:sz w:val="24"/>
                <w:szCs w:val="24"/>
              </w:rPr>
              <w:t>5</w:t>
            </w:r>
          </w:p>
        </w:tc>
      </w:tr>
      <w:tr w:rsidR="00EE2834" w:rsidRPr="00EE2834" w14:paraId="05C1E179" w14:textId="77777777" w:rsidTr="0002197E">
        <w:trPr>
          <w:trHeight w:val="510"/>
        </w:trPr>
        <w:tc>
          <w:tcPr>
            <w:tcW w:w="8222" w:type="dxa"/>
            <w:vAlign w:val="center"/>
          </w:tcPr>
          <w:p w14:paraId="37FC2E21" w14:textId="77777777" w:rsidR="00EE2834" w:rsidRPr="00EE2834" w:rsidRDefault="00EE2834" w:rsidP="00EE2834">
            <w:pPr>
              <w:numPr>
                <w:ilvl w:val="0"/>
                <w:numId w:val="15"/>
              </w:numPr>
              <w:spacing w:before="120" w:after="0" w:line="240" w:lineRule="auto"/>
              <w:contextualSpacing/>
              <w:rPr>
                <w:rFonts w:eastAsia="Times New Roman" w:cstheme="minorHAnsi"/>
                <w:b/>
                <w:bCs/>
                <w:sz w:val="24"/>
                <w:szCs w:val="24"/>
              </w:rPr>
            </w:pPr>
            <w:r w:rsidRPr="00EE2834">
              <w:rPr>
                <w:rFonts w:eastAsia="Times New Roman" w:cstheme="minorHAnsi"/>
                <w:b/>
                <w:bCs/>
                <w:sz w:val="24"/>
                <w:szCs w:val="24"/>
              </w:rPr>
              <w:t>Hygiene and Pest Control</w:t>
            </w:r>
          </w:p>
        </w:tc>
        <w:tc>
          <w:tcPr>
            <w:tcW w:w="1134" w:type="dxa"/>
            <w:vAlign w:val="center"/>
          </w:tcPr>
          <w:p w14:paraId="6082674D" w14:textId="77777777" w:rsidR="00EE2834" w:rsidRPr="00EE2834" w:rsidRDefault="005F4B3D" w:rsidP="00EE2834">
            <w:pPr>
              <w:spacing w:after="0" w:line="240" w:lineRule="auto"/>
              <w:jc w:val="center"/>
              <w:rPr>
                <w:rFonts w:eastAsia="Times New Roman" w:cstheme="minorHAnsi"/>
                <w:b/>
                <w:sz w:val="24"/>
                <w:szCs w:val="24"/>
              </w:rPr>
            </w:pPr>
            <w:r>
              <w:rPr>
                <w:rFonts w:eastAsia="Times New Roman" w:cstheme="minorHAnsi"/>
                <w:b/>
                <w:sz w:val="24"/>
                <w:szCs w:val="24"/>
              </w:rPr>
              <w:t>6</w:t>
            </w:r>
          </w:p>
        </w:tc>
      </w:tr>
      <w:tr w:rsidR="00EE2834" w:rsidRPr="00EE2834" w14:paraId="4732C84D" w14:textId="77777777" w:rsidTr="0002197E">
        <w:trPr>
          <w:trHeight w:val="510"/>
        </w:trPr>
        <w:tc>
          <w:tcPr>
            <w:tcW w:w="8222" w:type="dxa"/>
            <w:vAlign w:val="center"/>
          </w:tcPr>
          <w:p w14:paraId="79F39307" w14:textId="77777777" w:rsidR="00EE2834" w:rsidRPr="00EE2834" w:rsidRDefault="00EE2834" w:rsidP="00EE2834">
            <w:pPr>
              <w:numPr>
                <w:ilvl w:val="0"/>
                <w:numId w:val="15"/>
              </w:numPr>
              <w:spacing w:before="120" w:after="0" w:line="240" w:lineRule="auto"/>
              <w:contextualSpacing/>
              <w:rPr>
                <w:rFonts w:eastAsia="Times New Roman" w:cstheme="minorHAnsi"/>
                <w:b/>
                <w:bCs/>
                <w:sz w:val="24"/>
                <w:szCs w:val="24"/>
              </w:rPr>
            </w:pPr>
            <w:r w:rsidRPr="00EE2834">
              <w:rPr>
                <w:rFonts w:eastAsia="Times New Roman" w:cstheme="minorHAnsi"/>
                <w:b/>
                <w:bCs/>
                <w:sz w:val="24"/>
                <w:szCs w:val="24"/>
              </w:rPr>
              <w:t>Storerooms</w:t>
            </w:r>
          </w:p>
        </w:tc>
        <w:tc>
          <w:tcPr>
            <w:tcW w:w="1134" w:type="dxa"/>
            <w:vAlign w:val="center"/>
          </w:tcPr>
          <w:p w14:paraId="105C7CF7" w14:textId="7EC31F63" w:rsidR="00EE2834" w:rsidRPr="00EE2834" w:rsidRDefault="008811A7" w:rsidP="00EE2834">
            <w:pPr>
              <w:spacing w:after="0" w:line="240" w:lineRule="auto"/>
              <w:jc w:val="center"/>
              <w:rPr>
                <w:rFonts w:eastAsia="Times New Roman" w:cstheme="minorHAnsi"/>
                <w:b/>
                <w:sz w:val="24"/>
                <w:szCs w:val="24"/>
              </w:rPr>
            </w:pPr>
            <w:r>
              <w:rPr>
                <w:rFonts w:eastAsia="Times New Roman" w:cstheme="minorHAnsi"/>
                <w:b/>
                <w:sz w:val="24"/>
                <w:szCs w:val="24"/>
              </w:rPr>
              <w:t>6</w:t>
            </w:r>
          </w:p>
        </w:tc>
      </w:tr>
      <w:tr w:rsidR="0056559A" w:rsidRPr="00EE2834" w14:paraId="23A0C16E" w14:textId="77777777" w:rsidTr="0002197E">
        <w:trPr>
          <w:trHeight w:val="510"/>
        </w:trPr>
        <w:tc>
          <w:tcPr>
            <w:tcW w:w="8222" w:type="dxa"/>
            <w:vAlign w:val="center"/>
          </w:tcPr>
          <w:p w14:paraId="023B1123" w14:textId="77777777" w:rsidR="0056559A" w:rsidRPr="00EE2834" w:rsidRDefault="0056559A" w:rsidP="00EE2834">
            <w:pPr>
              <w:numPr>
                <w:ilvl w:val="0"/>
                <w:numId w:val="15"/>
              </w:numPr>
              <w:spacing w:before="120" w:after="0" w:line="240" w:lineRule="auto"/>
              <w:contextualSpacing/>
              <w:rPr>
                <w:rFonts w:eastAsia="Times New Roman" w:cstheme="minorHAnsi"/>
                <w:b/>
                <w:bCs/>
                <w:sz w:val="24"/>
                <w:szCs w:val="24"/>
              </w:rPr>
            </w:pPr>
            <w:r>
              <w:rPr>
                <w:rFonts w:eastAsia="Times New Roman" w:cstheme="minorHAnsi"/>
                <w:b/>
                <w:bCs/>
                <w:sz w:val="24"/>
                <w:szCs w:val="24"/>
              </w:rPr>
              <w:t>References</w:t>
            </w:r>
          </w:p>
        </w:tc>
        <w:tc>
          <w:tcPr>
            <w:tcW w:w="1134" w:type="dxa"/>
            <w:vAlign w:val="center"/>
          </w:tcPr>
          <w:p w14:paraId="2F0D130E" w14:textId="6AE4F4BF" w:rsidR="0056559A" w:rsidRDefault="008811A7" w:rsidP="00EE2834">
            <w:pPr>
              <w:spacing w:after="0" w:line="240" w:lineRule="auto"/>
              <w:jc w:val="center"/>
              <w:rPr>
                <w:rFonts w:eastAsia="Times New Roman" w:cstheme="minorHAnsi"/>
                <w:b/>
                <w:sz w:val="24"/>
                <w:szCs w:val="24"/>
              </w:rPr>
            </w:pPr>
            <w:r>
              <w:rPr>
                <w:rFonts w:eastAsia="Times New Roman" w:cstheme="minorHAnsi"/>
                <w:b/>
                <w:sz w:val="24"/>
                <w:szCs w:val="24"/>
              </w:rPr>
              <w:t>6</w:t>
            </w:r>
          </w:p>
        </w:tc>
      </w:tr>
      <w:tr w:rsidR="00EE2834" w:rsidRPr="00EE2834" w14:paraId="74E02F5B" w14:textId="77777777" w:rsidTr="0002197E">
        <w:trPr>
          <w:trHeight w:val="510"/>
        </w:trPr>
        <w:tc>
          <w:tcPr>
            <w:tcW w:w="8222" w:type="dxa"/>
            <w:vAlign w:val="center"/>
          </w:tcPr>
          <w:p w14:paraId="69294C0F" w14:textId="77777777" w:rsidR="00EE2834" w:rsidRPr="00EE2834" w:rsidRDefault="00EE2834" w:rsidP="00EE2834">
            <w:pPr>
              <w:numPr>
                <w:ilvl w:val="0"/>
                <w:numId w:val="15"/>
              </w:numPr>
              <w:spacing w:before="120" w:after="0" w:line="240" w:lineRule="auto"/>
              <w:contextualSpacing/>
              <w:rPr>
                <w:rFonts w:eastAsia="Times New Roman" w:cstheme="minorHAnsi"/>
                <w:b/>
                <w:bCs/>
                <w:sz w:val="24"/>
                <w:szCs w:val="24"/>
              </w:rPr>
            </w:pPr>
            <w:r w:rsidRPr="00EE2834">
              <w:rPr>
                <w:rFonts w:eastAsia="Times New Roman" w:cstheme="minorHAnsi"/>
                <w:b/>
                <w:bCs/>
                <w:sz w:val="24"/>
                <w:szCs w:val="24"/>
              </w:rPr>
              <w:t>Acknowledgements</w:t>
            </w:r>
          </w:p>
        </w:tc>
        <w:tc>
          <w:tcPr>
            <w:tcW w:w="1134" w:type="dxa"/>
            <w:vAlign w:val="center"/>
          </w:tcPr>
          <w:p w14:paraId="7057D701" w14:textId="0D4C12E8" w:rsidR="00EE2834" w:rsidRPr="00EE2834" w:rsidRDefault="008811A7" w:rsidP="00EE2834">
            <w:pPr>
              <w:spacing w:after="0" w:line="240" w:lineRule="auto"/>
              <w:jc w:val="center"/>
              <w:rPr>
                <w:rFonts w:eastAsia="Times New Roman" w:cstheme="minorHAnsi"/>
                <w:b/>
                <w:sz w:val="24"/>
                <w:szCs w:val="24"/>
              </w:rPr>
            </w:pPr>
            <w:r>
              <w:rPr>
                <w:rFonts w:eastAsia="Times New Roman" w:cstheme="minorHAnsi"/>
                <w:b/>
                <w:sz w:val="24"/>
                <w:szCs w:val="24"/>
              </w:rPr>
              <w:t>6</w:t>
            </w:r>
          </w:p>
        </w:tc>
      </w:tr>
      <w:tr w:rsidR="00515E83" w:rsidRPr="00EE2834" w14:paraId="06DD8A09" w14:textId="77777777" w:rsidTr="0002197E">
        <w:trPr>
          <w:trHeight w:val="510"/>
        </w:trPr>
        <w:tc>
          <w:tcPr>
            <w:tcW w:w="8222" w:type="dxa"/>
            <w:vAlign w:val="center"/>
          </w:tcPr>
          <w:p w14:paraId="5785A8C6" w14:textId="77777777" w:rsidR="00515E83" w:rsidRPr="00EE2834" w:rsidRDefault="00515E83" w:rsidP="00EE2834">
            <w:pPr>
              <w:numPr>
                <w:ilvl w:val="0"/>
                <w:numId w:val="15"/>
              </w:numPr>
              <w:spacing w:before="120" w:after="0" w:line="240" w:lineRule="auto"/>
              <w:contextualSpacing/>
              <w:rPr>
                <w:rFonts w:eastAsia="Times New Roman" w:cstheme="minorHAnsi"/>
                <w:b/>
                <w:bCs/>
                <w:sz w:val="24"/>
                <w:szCs w:val="24"/>
              </w:rPr>
            </w:pPr>
            <w:r>
              <w:rPr>
                <w:rFonts w:eastAsia="Times New Roman" w:cstheme="minorHAnsi"/>
                <w:b/>
                <w:bCs/>
                <w:sz w:val="24"/>
                <w:szCs w:val="24"/>
              </w:rPr>
              <w:t>Disclaimer</w:t>
            </w:r>
          </w:p>
        </w:tc>
        <w:tc>
          <w:tcPr>
            <w:tcW w:w="1134" w:type="dxa"/>
            <w:vAlign w:val="center"/>
          </w:tcPr>
          <w:p w14:paraId="3DA8915E" w14:textId="77777777" w:rsidR="00515E83" w:rsidRDefault="00515E83" w:rsidP="00EE2834">
            <w:pPr>
              <w:spacing w:after="0" w:line="240" w:lineRule="auto"/>
              <w:jc w:val="center"/>
              <w:rPr>
                <w:rFonts w:eastAsia="Times New Roman" w:cstheme="minorHAnsi"/>
                <w:b/>
                <w:sz w:val="24"/>
                <w:szCs w:val="24"/>
              </w:rPr>
            </w:pPr>
            <w:r>
              <w:rPr>
                <w:rFonts w:eastAsia="Times New Roman" w:cstheme="minorHAnsi"/>
                <w:b/>
                <w:sz w:val="24"/>
                <w:szCs w:val="24"/>
              </w:rPr>
              <w:t>7</w:t>
            </w:r>
          </w:p>
        </w:tc>
      </w:tr>
      <w:tr w:rsidR="00DF0A8D" w:rsidRPr="00EE2834" w14:paraId="1942B13F" w14:textId="77777777" w:rsidTr="0002197E">
        <w:trPr>
          <w:trHeight w:val="510"/>
        </w:trPr>
        <w:tc>
          <w:tcPr>
            <w:tcW w:w="8222" w:type="dxa"/>
            <w:vAlign w:val="center"/>
          </w:tcPr>
          <w:p w14:paraId="7C05284C" w14:textId="77777777" w:rsidR="00DF0A8D" w:rsidRDefault="00DF0A8D" w:rsidP="00EE2834">
            <w:pPr>
              <w:numPr>
                <w:ilvl w:val="0"/>
                <w:numId w:val="15"/>
              </w:numPr>
              <w:spacing w:before="120" w:after="0" w:line="240" w:lineRule="auto"/>
              <w:contextualSpacing/>
              <w:rPr>
                <w:rFonts w:eastAsia="Times New Roman" w:cstheme="minorHAnsi"/>
                <w:b/>
                <w:bCs/>
                <w:sz w:val="24"/>
                <w:szCs w:val="24"/>
              </w:rPr>
            </w:pPr>
            <w:r>
              <w:rPr>
                <w:rFonts w:eastAsia="Times New Roman" w:cstheme="minorHAnsi"/>
                <w:b/>
                <w:bCs/>
                <w:sz w:val="24"/>
                <w:szCs w:val="24"/>
              </w:rPr>
              <w:t>Appendix A</w:t>
            </w:r>
            <w:r w:rsidR="00222F69">
              <w:rPr>
                <w:rFonts w:eastAsia="Times New Roman" w:cstheme="minorHAnsi"/>
                <w:b/>
                <w:bCs/>
                <w:sz w:val="24"/>
                <w:szCs w:val="24"/>
              </w:rPr>
              <w:t>: DETERMINATION OF RISK</w:t>
            </w:r>
          </w:p>
        </w:tc>
        <w:tc>
          <w:tcPr>
            <w:tcW w:w="1134" w:type="dxa"/>
            <w:vAlign w:val="center"/>
          </w:tcPr>
          <w:p w14:paraId="6CE7F22E" w14:textId="77777777" w:rsidR="00DF0A8D" w:rsidRDefault="00DF0A8D" w:rsidP="00EE2834">
            <w:pPr>
              <w:spacing w:after="0" w:line="240" w:lineRule="auto"/>
              <w:jc w:val="center"/>
              <w:rPr>
                <w:rFonts w:eastAsia="Times New Roman" w:cstheme="minorHAnsi"/>
                <w:b/>
                <w:sz w:val="24"/>
                <w:szCs w:val="24"/>
              </w:rPr>
            </w:pPr>
            <w:r>
              <w:rPr>
                <w:rFonts w:eastAsia="Times New Roman" w:cstheme="minorHAnsi"/>
                <w:b/>
                <w:sz w:val="24"/>
                <w:szCs w:val="24"/>
              </w:rPr>
              <w:t>8</w:t>
            </w:r>
          </w:p>
        </w:tc>
      </w:tr>
    </w:tbl>
    <w:p w14:paraId="2E966BF8" w14:textId="77777777" w:rsidR="00EE2834" w:rsidRDefault="00EE2834" w:rsidP="008976D2">
      <w:pPr>
        <w:spacing w:before="120" w:after="0" w:line="240" w:lineRule="auto"/>
        <w:contextualSpacing/>
        <w:jc w:val="both"/>
        <w:rPr>
          <w:rFonts w:eastAsia="Times New Roman" w:cstheme="minorHAnsi"/>
          <w:b/>
          <w:sz w:val="28"/>
          <w:szCs w:val="24"/>
        </w:rPr>
      </w:pPr>
    </w:p>
    <w:p w14:paraId="5BB8D7C4" w14:textId="77777777" w:rsidR="006C6D01" w:rsidRDefault="006C6D01" w:rsidP="0002197E">
      <w:pPr>
        <w:pStyle w:val="Heading1"/>
        <w:framePr w:vSpace="120" w:wrap="around"/>
        <w:numPr>
          <w:ilvl w:val="0"/>
          <w:numId w:val="11"/>
        </w:numPr>
        <w:ind w:left="567" w:hanging="567"/>
        <w:rPr>
          <w:lang w:eastAsia="en-US"/>
        </w:rPr>
      </w:pPr>
      <w:r>
        <w:rPr>
          <w:lang w:eastAsia="en-US"/>
        </w:rPr>
        <w:lastRenderedPageBreak/>
        <w:t>GENERAL INFORMATION</w:t>
      </w:r>
    </w:p>
    <w:p w14:paraId="5D3A6FC4" w14:textId="77777777" w:rsidR="006C6D01" w:rsidRPr="006C6D01" w:rsidRDefault="006C6D01" w:rsidP="00B03880">
      <w:pPr>
        <w:pStyle w:val="ListParagraph"/>
        <w:framePr w:hSpace="180" w:vSpace="120" w:wrap="around" w:vAnchor="text" w:hAnchor="margin" w:y="172"/>
        <w:numPr>
          <w:ilvl w:val="0"/>
          <w:numId w:val="13"/>
        </w:numPr>
        <w:spacing w:after="0"/>
        <w:ind w:left="1134" w:hanging="567"/>
        <w:jc w:val="both"/>
        <w:rPr>
          <w:rFonts w:cstheme="minorHAnsi"/>
          <w:sz w:val="24"/>
          <w:szCs w:val="24"/>
        </w:rPr>
      </w:pPr>
      <w:r w:rsidRPr="006C6D01">
        <w:rPr>
          <w:rFonts w:cstheme="minorHAnsi"/>
          <w:sz w:val="24"/>
          <w:szCs w:val="24"/>
        </w:rPr>
        <w:t xml:space="preserve">Pursuant to the </w:t>
      </w:r>
      <w:r w:rsidRPr="006C6D01">
        <w:rPr>
          <w:rFonts w:cstheme="minorHAnsi"/>
          <w:i/>
          <w:sz w:val="24"/>
          <w:szCs w:val="24"/>
        </w:rPr>
        <w:t>Health Practitioners Act (HPA),</w:t>
      </w:r>
      <w:r w:rsidRPr="006C6D01">
        <w:rPr>
          <w:rFonts w:cstheme="minorHAnsi"/>
          <w:sz w:val="24"/>
          <w:szCs w:val="24"/>
        </w:rPr>
        <w:t xml:space="preserve"> Schedule 7 the Pharmacy Premises Committee (Committee) prescribes that all Professional Services Premises must comply with the following premises standard.</w:t>
      </w:r>
    </w:p>
    <w:p w14:paraId="25DE8BD2" w14:textId="77777777" w:rsidR="006C6D01" w:rsidRPr="006C6D01" w:rsidRDefault="006C6D01" w:rsidP="00B03880">
      <w:pPr>
        <w:framePr w:hSpace="180" w:vSpace="120" w:wrap="around" w:vAnchor="text" w:hAnchor="margin" w:y="172"/>
        <w:spacing w:after="0"/>
        <w:ind w:left="1134" w:hanging="567"/>
        <w:jc w:val="both"/>
        <w:rPr>
          <w:rFonts w:cstheme="minorHAnsi"/>
          <w:sz w:val="24"/>
          <w:szCs w:val="24"/>
        </w:rPr>
      </w:pPr>
      <w:r w:rsidRPr="006C6D01">
        <w:rPr>
          <w:rFonts w:cstheme="minorHAnsi"/>
          <w:b/>
          <w:sz w:val="24"/>
          <w:szCs w:val="24"/>
        </w:rPr>
        <w:t>1.2</w:t>
      </w:r>
      <w:r w:rsidRPr="006C6D01">
        <w:rPr>
          <w:rFonts w:cstheme="minorHAnsi"/>
          <w:sz w:val="24"/>
          <w:szCs w:val="24"/>
        </w:rPr>
        <w:t xml:space="preserve">     Professional Services Premises found to be in compliance with the standard will be issued a Certificate of Compliance under the following conditions:</w:t>
      </w:r>
    </w:p>
    <w:p w14:paraId="65A6B40E" w14:textId="22BC8A3B" w:rsidR="006C6D01" w:rsidRPr="0074681C" w:rsidRDefault="006C6D01" w:rsidP="00B03880">
      <w:pPr>
        <w:framePr w:hSpace="180" w:vSpace="120" w:wrap="around" w:vAnchor="text" w:hAnchor="margin" w:y="172"/>
        <w:numPr>
          <w:ilvl w:val="0"/>
          <w:numId w:val="14"/>
        </w:numPr>
        <w:spacing w:before="120" w:after="0" w:line="240" w:lineRule="auto"/>
        <w:ind w:left="1701" w:hanging="567"/>
        <w:contextualSpacing/>
        <w:jc w:val="both"/>
        <w:rPr>
          <w:rFonts w:cstheme="minorHAnsi"/>
          <w:sz w:val="24"/>
          <w:szCs w:val="24"/>
        </w:rPr>
      </w:pPr>
      <w:r w:rsidRPr="0074681C">
        <w:rPr>
          <w:rFonts w:cstheme="minorHAnsi"/>
          <w:sz w:val="24"/>
          <w:szCs w:val="24"/>
        </w:rPr>
        <w:t>effective for two years</w:t>
      </w:r>
      <w:r w:rsidR="006475DA" w:rsidRPr="0074681C">
        <w:rPr>
          <w:rFonts w:cstheme="minorHAnsi"/>
          <w:sz w:val="24"/>
          <w:szCs w:val="24"/>
        </w:rPr>
        <w:t xml:space="preserve"> </w:t>
      </w:r>
      <w:r w:rsidR="006475DA" w:rsidRPr="00CA7AAA">
        <w:rPr>
          <w:rFonts w:cstheme="minorHAnsi"/>
          <w:sz w:val="24"/>
          <w:szCs w:val="24"/>
        </w:rPr>
        <w:t>unless deemed to be of high risk at which a Certificate of Compliance will be issued for one year (see Appendix A)</w:t>
      </w:r>
      <w:r w:rsidRPr="0074681C">
        <w:rPr>
          <w:rFonts w:cstheme="minorHAnsi"/>
          <w:sz w:val="24"/>
          <w:szCs w:val="24"/>
        </w:rPr>
        <w:t>;</w:t>
      </w:r>
    </w:p>
    <w:p w14:paraId="475662D7" w14:textId="77777777" w:rsidR="006C6D01" w:rsidRPr="006C6D01" w:rsidRDefault="006C6D01" w:rsidP="00B03880">
      <w:pPr>
        <w:pStyle w:val="ListParagraph"/>
        <w:framePr w:hSpace="180" w:vSpace="120" w:wrap="around" w:vAnchor="text" w:hAnchor="margin" w:y="172"/>
        <w:numPr>
          <w:ilvl w:val="0"/>
          <w:numId w:val="14"/>
        </w:numPr>
        <w:spacing w:after="0"/>
        <w:ind w:left="1701" w:hanging="567"/>
        <w:jc w:val="both"/>
        <w:rPr>
          <w:rFonts w:cstheme="minorHAnsi"/>
          <w:sz w:val="24"/>
          <w:szCs w:val="24"/>
        </w:rPr>
      </w:pPr>
      <w:r w:rsidRPr="006C6D01">
        <w:rPr>
          <w:rFonts w:cstheme="minorHAnsi"/>
          <w:sz w:val="24"/>
          <w:szCs w:val="24"/>
        </w:rPr>
        <w:t>valid only for the address listed</w:t>
      </w:r>
    </w:p>
    <w:p w14:paraId="581A9F35" w14:textId="77777777" w:rsidR="006C6D01" w:rsidRPr="006C6D01" w:rsidRDefault="006C6D01" w:rsidP="00B03880">
      <w:pPr>
        <w:pStyle w:val="ListParagraph"/>
        <w:framePr w:hSpace="180" w:vSpace="120" w:wrap="around" w:vAnchor="text" w:hAnchor="margin" w:y="172"/>
        <w:numPr>
          <w:ilvl w:val="0"/>
          <w:numId w:val="14"/>
        </w:numPr>
        <w:spacing w:after="0"/>
        <w:ind w:left="1701" w:hanging="567"/>
        <w:jc w:val="both"/>
        <w:rPr>
          <w:rFonts w:cstheme="minorHAnsi"/>
          <w:sz w:val="24"/>
          <w:szCs w:val="24"/>
        </w:rPr>
      </w:pPr>
      <w:r w:rsidRPr="006C6D01">
        <w:rPr>
          <w:rFonts w:cstheme="minorHAnsi"/>
          <w:sz w:val="24"/>
          <w:szCs w:val="24"/>
        </w:rPr>
        <w:t>not transferrable from the current ownership structure; and</w:t>
      </w:r>
    </w:p>
    <w:p w14:paraId="105A8A93" w14:textId="77777777" w:rsidR="006C6D01" w:rsidRPr="006C6D01" w:rsidRDefault="006C6D01" w:rsidP="00B03880">
      <w:pPr>
        <w:pStyle w:val="ListParagraph"/>
        <w:framePr w:hSpace="180" w:vSpace="120" w:wrap="around" w:vAnchor="text" w:hAnchor="margin" w:y="172"/>
        <w:numPr>
          <w:ilvl w:val="0"/>
          <w:numId w:val="14"/>
        </w:numPr>
        <w:spacing w:after="0"/>
        <w:ind w:left="1701" w:hanging="567"/>
        <w:jc w:val="both"/>
      </w:pPr>
      <w:r w:rsidRPr="006C6D01">
        <w:rPr>
          <w:rFonts w:cstheme="minorHAnsi"/>
          <w:sz w:val="24"/>
          <w:szCs w:val="24"/>
        </w:rPr>
        <w:t>not valid if the premises undergo major retrofitting</w:t>
      </w:r>
    </w:p>
    <w:p w14:paraId="7C82E677" w14:textId="77777777" w:rsidR="00BF1E2D" w:rsidRDefault="00BF1E2D" w:rsidP="00B03880">
      <w:pPr>
        <w:numPr>
          <w:ilvl w:val="0"/>
          <w:numId w:val="7"/>
        </w:numPr>
        <w:spacing w:before="120" w:after="0" w:line="240" w:lineRule="auto"/>
        <w:ind w:left="567" w:hanging="567"/>
        <w:contextualSpacing/>
        <w:jc w:val="both"/>
        <w:rPr>
          <w:rFonts w:eastAsia="Times New Roman" w:cstheme="minorHAnsi"/>
          <w:b/>
          <w:sz w:val="28"/>
          <w:szCs w:val="24"/>
        </w:rPr>
      </w:pPr>
      <w:r>
        <w:rPr>
          <w:rFonts w:eastAsia="Times New Roman" w:cstheme="minorHAnsi"/>
          <w:b/>
          <w:sz w:val="28"/>
          <w:szCs w:val="24"/>
        </w:rPr>
        <w:t>CONSIDERATION</w:t>
      </w:r>
    </w:p>
    <w:p w14:paraId="44D064DB" w14:textId="77777777" w:rsidR="008976D2" w:rsidRPr="008976D2" w:rsidRDefault="008976D2" w:rsidP="008976D2">
      <w:pPr>
        <w:spacing w:before="120" w:after="0" w:line="240" w:lineRule="auto"/>
        <w:contextualSpacing/>
        <w:jc w:val="both"/>
        <w:rPr>
          <w:rFonts w:eastAsia="Times New Roman" w:cstheme="minorHAnsi"/>
          <w:b/>
          <w:sz w:val="12"/>
          <w:szCs w:val="12"/>
        </w:rPr>
      </w:pPr>
    </w:p>
    <w:p w14:paraId="09BA08B1" w14:textId="77777777" w:rsidR="00263999" w:rsidRDefault="00BF1E2D" w:rsidP="00B03880">
      <w:pPr>
        <w:spacing w:before="120" w:after="0" w:line="240" w:lineRule="auto"/>
        <w:contextualSpacing/>
        <w:jc w:val="both"/>
        <w:rPr>
          <w:rFonts w:eastAsia="Times New Roman" w:cstheme="minorHAnsi"/>
          <w:sz w:val="24"/>
          <w:szCs w:val="24"/>
        </w:rPr>
      </w:pPr>
      <w:r w:rsidRPr="00BF1E2D">
        <w:rPr>
          <w:rFonts w:eastAsia="Times New Roman" w:cstheme="minorHAnsi"/>
          <w:sz w:val="24"/>
          <w:szCs w:val="24"/>
        </w:rPr>
        <w:t>The</w:t>
      </w:r>
      <w:r>
        <w:rPr>
          <w:rFonts w:eastAsia="Times New Roman" w:cstheme="minorHAnsi"/>
          <w:sz w:val="24"/>
          <w:szCs w:val="24"/>
        </w:rPr>
        <w:t xml:space="preserve"> Committee will only consider applications for Professional Services Premises if there is an unmet public need and must also meet the objects of the </w:t>
      </w:r>
      <w:r w:rsidR="003607E0" w:rsidRPr="00324E34">
        <w:rPr>
          <w:rFonts w:eastAsia="Times New Roman" w:cstheme="minorHAnsi"/>
          <w:i/>
          <w:sz w:val="24"/>
          <w:szCs w:val="24"/>
        </w:rPr>
        <w:t>HPA</w:t>
      </w:r>
      <w:r w:rsidRPr="00F76C70">
        <w:rPr>
          <w:rFonts w:eastAsia="Times New Roman" w:cstheme="minorHAnsi"/>
          <w:i/>
          <w:sz w:val="24"/>
          <w:szCs w:val="24"/>
        </w:rPr>
        <w:t>.</w:t>
      </w:r>
    </w:p>
    <w:p w14:paraId="40EC2DB1" w14:textId="77777777" w:rsidR="00263999" w:rsidRDefault="00263999" w:rsidP="00B03880">
      <w:pPr>
        <w:spacing w:before="120" w:after="0" w:line="240" w:lineRule="auto"/>
        <w:contextualSpacing/>
        <w:jc w:val="both"/>
        <w:rPr>
          <w:rFonts w:eastAsia="Times New Roman" w:cstheme="minorHAnsi"/>
          <w:sz w:val="24"/>
          <w:szCs w:val="24"/>
        </w:rPr>
      </w:pPr>
      <w:r>
        <w:rPr>
          <w:rFonts w:eastAsia="Times New Roman" w:cstheme="minorHAnsi"/>
          <w:sz w:val="24"/>
          <w:szCs w:val="24"/>
        </w:rPr>
        <w:t>The</w:t>
      </w:r>
      <w:r w:rsidR="003607E0">
        <w:rPr>
          <w:rFonts w:eastAsia="Times New Roman" w:cstheme="minorHAnsi"/>
          <w:sz w:val="24"/>
          <w:szCs w:val="24"/>
        </w:rPr>
        <w:t>se</w:t>
      </w:r>
      <w:r>
        <w:rPr>
          <w:rFonts w:eastAsia="Times New Roman" w:cstheme="minorHAnsi"/>
          <w:sz w:val="24"/>
          <w:szCs w:val="24"/>
        </w:rPr>
        <w:t xml:space="preserve"> objects are</w:t>
      </w:r>
      <w:r w:rsidR="003607E0">
        <w:rPr>
          <w:rFonts w:eastAsia="Times New Roman" w:cstheme="minorHAnsi"/>
          <w:sz w:val="24"/>
          <w:szCs w:val="24"/>
        </w:rPr>
        <w:t xml:space="preserve"> to</w:t>
      </w:r>
      <w:r>
        <w:rPr>
          <w:rFonts w:eastAsia="Times New Roman" w:cstheme="minorHAnsi"/>
          <w:sz w:val="24"/>
          <w:szCs w:val="24"/>
        </w:rPr>
        <w:t>:</w:t>
      </w:r>
    </w:p>
    <w:p w14:paraId="3FA1AC67" w14:textId="77777777" w:rsidR="00263999" w:rsidRDefault="00263999" w:rsidP="00B03880">
      <w:pPr>
        <w:pStyle w:val="ListParagraph"/>
        <w:numPr>
          <w:ilvl w:val="0"/>
          <w:numId w:val="10"/>
        </w:numPr>
        <w:ind w:left="567" w:hanging="567"/>
        <w:jc w:val="both"/>
      </w:pPr>
      <w:r>
        <w:t>protect and promote the health and safety of the people in the Northern Territory; and</w:t>
      </w:r>
    </w:p>
    <w:p w14:paraId="385FC1BC" w14:textId="77777777" w:rsidR="00263999" w:rsidRPr="00D56944" w:rsidRDefault="00F76C70" w:rsidP="00B03880">
      <w:pPr>
        <w:pStyle w:val="ListParagraph"/>
        <w:numPr>
          <w:ilvl w:val="0"/>
          <w:numId w:val="10"/>
        </w:numPr>
        <w:spacing w:before="120" w:after="0" w:line="240" w:lineRule="auto"/>
        <w:ind w:left="567" w:hanging="567"/>
        <w:jc w:val="both"/>
        <w:rPr>
          <w:rFonts w:eastAsia="Times New Roman" w:cstheme="minorHAnsi"/>
          <w:b/>
          <w:sz w:val="28"/>
          <w:szCs w:val="24"/>
        </w:rPr>
      </w:pPr>
      <w:r>
        <w:t>p</w:t>
      </w:r>
      <w:r w:rsidR="00263999">
        <w:t>romote the highest standard of healthcare services in the Northern Territory.</w:t>
      </w:r>
    </w:p>
    <w:p w14:paraId="4C982CBA" w14:textId="77777777" w:rsidR="005B312E" w:rsidRPr="003607E0" w:rsidRDefault="005B312E" w:rsidP="00B03880">
      <w:pPr>
        <w:spacing w:before="120" w:after="0" w:line="240" w:lineRule="auto"/>
        <w:jc w:val="both"/>
        <w:rPr>
          <w:rFonts w:eastAsia="Times New Roman" w:cstheme="minorHAnsi"/>
          <w:sz w:val="24"/>
          <w:szCs w:val="24"/>
        </w:rPr>
      </w:pPr>
      <w:r w:rsidRPr="003607E0">
        <w:rPr>
          <w:rFonts w:eastAsia="Times New Roman" w:cstheme="minorHAnsi"/>
          <w:sz w:val="24"/>
          <w:szCs w:val="24"/>
        </w:rPr>
        <w:t xml:space="preserve">In addition, </w:t>
      </w:r>
      <w:r w:rsidR="000410AA">
        <w:rPr>
          <w:rFonts w:eastAsia="Times New Roman" w:cstheme="minorHAnsi"/>
          <w:sz w:val="24"/>
          <w:szCs w:val="24"/>
        </w:rPr>
        <w:t xml:space="preserve">the business </w:t>
      </w:r>
      <w:r w:rsidR="00324E34">
        <w:rPr>
          <w:rFonts w:eastAsia="Times New Roman" w:cstheme="minorHAnsi"/>
          <w:sz w:val="24"/>
          <w:szCs w:val="24"/>
        </w:rPr>
        <w:t xml:space="preserve">conducted in the </w:t>
      </w:r>
      <w:r w:rsidRPr="003607E0">
        <w:rPr>
          <w:rFonts w:eastAsia="Times New Roman" w:cstheme="minorHAnsi"/>
          <w:sz w:val="24"/>
          <w:szCs w:val="24"/>
        </w:rPr>
        <w:t xml:space="preserve">Professional Services Premises must </w:t>
      </w:r>
      <w:r w:rsidR="00324E34">
        <w:rPr>
          <w:rFonts w:eastAsia="Times New Roman" w:cstheme="minorHAnsi"/>
          <w:sz w:val="24"/>
          <w:szCs w:val="24"/>
        </w:rPr>
        <w:t xml:space="preserve">form part of and be owned by a compliant pharmacy business, physically located </w:t>
      </w:r>
      <w:r w:rsidRPr="003607E0">
        <w:rPr>
          <w:rFonts w:eastAsia="Times New Roman" w:cstheme="minorHAnsi"/>
          <w:sz w:val="24"/>
          <w:szCs w:val="24"/>
        </w:rPr>
        <w:t xml:space="preserve">in the Northern Territory as defined in the </w:t>
      </w:r>
      <w:r w:rsidRPr="003607E0">
        <w:rPr>
          <w:rFonts w:eastAsia="Times New Roman" w:cstheme="minorHAnsi"/>
          <w:i/>
          <w:sz w:val="24"/>
          <w:szCs w:val="24"/>
        </w:rPr>
        <w:t xml:space="preserve">HPA, </w:t>
      </w:r>
      <w:r w:rsidRPr="003607E0">
        <w:rPr>
          <w:rFonts w:eastAsia="Times New Roman" w:cstheme="minorHAnsi"/>
          <w:sz w:val="24"/>
          <w:szCs w:val="24"/>
        </w:rPr>
        <w:t xml:space="preserve">Schedule 7, Clause 1. </w:t>
      </w:r>
    </w:p>
    <w:p w14:paraId="04F8B6D6" w14:textId="77777777" w:rsidR="00D56944" w:rsidRPr="00D56944" w:rsidRDefault="00D56944" w:rsidP="00B03880">
      <w:pPr>
        <w:spacing w:before="120" w:after="0" w:line="240" w:lineRule="auto"/>
        <w:jc w:val="both"/>
        <w:rPr>
          <w:rFonts w:eastAsia="Times New Roman" w:cstheme="minorHAnsi"/>
          <w:sz w:val="24"/>
          <w:szCs w:val="24"/>
        </w:rPr>
      </w:pPr>
      <w:r w:rsidRPr="003607E0">
        <w:rPr>
          <w:rFonts w:eastAsia="Times New Roman" w:cstheme="minorHAnsi"/>
          <w:sz w:val="24"/>
          <w:szCs w:val="24"/>
        </w:rPr>
        <w:t>All applications will be considered on a case by case basis.</w:t>
      </w:r>
    </w:p>
    <w:p w14:paraId="548AEC5C" w14:textId="77777777" w:rsidR="00BF1E2D" w:rsidRPr="00263999" w:rsidRDefault="00BF1E2D" w:rsidP="005B312E">
      <w:pPr>
        <w:spacing w:after="0" w:line="240" w:lineRule="auto"/>
        <w:jc w:val="both"/>
        <w:rPr>
          <w:rFonts w:eastAsia="Times New Roman" w:cstheme="minorHAnsi"/>
          <w:b/>
          <w:sz w:val="28"/>
          <w:szCs w:val="24"/>
        </w:rPr>
      </w:pPr>
    </w:p>
    <w:p w14:paraId="709A5D3C" w14:textId="77777777" w:rsidR="00BF1E2D" w:rsidRPr="00BF1E2D" w:rsidRDefault="00BF1E2D" w:rsidP="008976D2">
      <w:pPr>
        <w:numPr>
          <w:ilvl w:val="0"/>
          <w:numId w:val="7"/>
        </w:numPr>
        <w:spacing w:before="120" w:after="0" w:line="240" w:lineRule="auto"/>
        <w:ind w:left="567" w:hanging="567"/>
        <w:contextualSpacing/>
        <w:jc w:val="both"/>
        <w:rPr>
          <w:rFonts w:eastAsia="Times New Roman" w:cstheme="minorHAnsi"/>
          <w:b/>
          <w:sz w:val="28"/>
          <w:szCs w:val="24"/>
        </w:rPr>
      </w:pPr>
      <w:r w:rsidRPr="00BF1E2D">
        <w:rPr>
          <w:rFonts w:eastAsia="Times New Roman" w:cstheme="minorHAnsi"/>
          <w:b/>
          <w:sz w:val="28"/>
          <w:szCs w:val="24"/>
        </w:rPr>
        <w:t>OVERVIEW</w:t>
      </w:r>
    </w:p>
    <w:p w14:paraId="6CF7C280" w14:textId="77777777" w:rsidR="00BF1E2D" w:rsidRPr="00BF1E2D" w:rsidRDefault="00BF1E2D" w:rsidP="00BF1E2D">
      <w:pPr>
        <w:spacing w:after="0" w:line="240" w:lineRule="auto"/>
        <w:jc w:val="both"/>
        <w:rPr>
          <w:rFonts w:eastAsia="Times New Roman" w:cstheme="minorHAnsi"/>
          <w:sz w:val="12"/>
          <w:szCs w:val="12"/>
        </w:rPr>
      </w:pPr>
    </w:p>
    <w:p w14:paraId="77EDA481" w14:textId="77777777" w:rsidR="00BF1E2D" w:rsidRPr="00BF1E2D" w:rsidRDefault="00BF1E2D" w:rsidP="00BF1E2D">
      <w:pPr>
        <w:spacing w:after="0" w:line="240" w:lineRule="auto"/>
        <w:jc w:val="both"/>
        <w:rPr>
          <w:rFonts w:ascii="Calibri" w:eastAsia="Times New Roman" w:hAnsi="Calibri" w:cs="Arial"/>
          <w:sz w:val="24"/>
          <w:szCs w:val="24"/>
        </w:rPr>
      </w:pPr>
      <w:r w:rsidRPr="00BF1E2D">
        <w:rPr>
          <w:rFonts w:ascii="Calibri" w:eastAsia="Times New Roman" w:hAnsi="Calibri" w:cs="Arial"/>
          <w:sz w:val="24"/>
          <w:szCs w:val="24"/>
        </w:rPr>
        <w:t xml:space="preserve">The </w:t>
      </w:r>
      <w:r w:rsidR="00F76C70">
        <w:rPr>
          <w:rFonts w:ascii="Calibri" w:eastAsia="Times New Roman" w:hAnsi="Calibri" w:cs="Arial"/>
          <w:sz w:val="24"/>
          <w:szCs w:val="24"/>
        </w:rPr>
        <w:t xml:space="preserve">professional services </w:t>
      </w:r>
      <w:r w:rsidRPr="00BF1E2D">
        <w:rPr>
          <w:rFonts w:ascii="Calibri" w:eastAsia="Times New Roman" w:hAnsi="Calibri" w:cs="Arial"/>
          <w:sz w:val="24"/>
          <w:szCs w:val="24"/>
        </w:rPr>
        <w:t>premises must consist of an enclosed area with sufficient space for the safe provision of therapeutic products and pharmacy serv</w:t>
      </w:r>
      <w:bookmarkStart w:id="0" w:name="_GoBack"/>
      <w:bookmarkEnd w:id="0"/>
      <w:r w:rsidRPr="00BF1E2D">
        <w:rPr>
          <w:rFonts w:ascii="Calibri" w:eastAsia="Times New Roman" w:hAnsi="Calibri" w:cs="Arial"/>
          <w:sz w:val="24"/>
          <w:szCs w:val="24"/>
        </w:rPr>
        <w:t>ices</w:t>
      </w:r>
      <w:r w:rsidR="00BE4243">
        <w:rPr>
          <w:rFonts w:ascii="Calibri" w:eastAsia="Times New Roman" w:hAnsi="Calibri" w:cs="Arial"/>
          <w:sz w:val="24"/>
          <w:szCs w:val="24"/>
        </w:rPr>
        <w:t xml:space="preserve"> and by the nature of the activities undertaken, will not be open to the public.</w:t>
      </w:r>
      <w:r w:rsidRPr="00BF1E2D">
        <w:rPr>
          <w:rFonts w:ascii="Calibri" w:eastAsia="Times New Roman" w:hAnsi="Calibri" w:cs="Arial"/>
          <w:sz w:val="24"/>
          <w:szCs w:val="24"/>
        </w:rPr>
        <w:t xml:space="preserve"> The premises must:</w:t>
      </w:r>
    </w:p>
    <w:p w14:paraId="72CCDA60" w14:textId="77777777" w:rsidR="00BF1E2D" w:rsidRPr="00BF1E2D" w:rsidRDefault="00BF1E2D" w:rsidP="00BF1E2D">
      <w:pPr>
        <w:numPr>
          <w:ilvl w:val="0"/>
          <w:numId w:val="5"/>
        </w:numPr>
        <w:spacing w:before="120" w:after="0" w:line="240" w:lineRule="auto"/>
        <w:ind w:left="357" w:hanging="357"/>
        <w:contextualSpacing/>
        <w:jc w:val="both"/>
        <w:rPr>
          <w:rFonts w:ascii="Calibri" w:eastAsia="Times New Roman" w:hAnsi="Calibri" w:cs="Arial"/>
          <w:sz w:val="24"/>
          <w:szCs w:val="24"/>
        </w:rPr>
      </w:pPr>
      <w:r w:rsidRPr="00BF1E2D">
        <w:rPr>
          <w:rFonts w:ascii="Calibri" w:eastAsia="Times New Roman" w:hAnsi="Calibri" w:cs="Arial"/>
          <w:sz w:val="24"/>
          <w:szCs w:val="24"/>
        </w:rPr>
        <w:t>provide adequate security for the storage of scheduled medicines;</w:t>
      </w:r>
    </w:p>
    <w:p w14:paraId="37E29C45" w14:textId="77777777" w:rsidR="00BF1E2D" w:rsidRPr="00BF1E2D" w:rsidRDefault="00BF1E2D" w:rsidP="00BF1E2D">
      <w:pPr>
        <w:numPr>
          <w:ilvl w:val="0"/>
          <w:numId w:val="5"/>
        </w:numPr>
        <w:spacing w:before="120" w:after="0" w:line="240" w:lineRule="auto"/>
        <w:ind w:left="357" w:hanging="357"/>
        <w:contextualSpacing/>
        <w:jc w:val="both"/>
        <w:rPr>
          <w:rFonts w:ascii="Calibri" w:eastAsia="Times New Roman" w:hAnsi="Calibri" w:cs="Arial"/>
          <w:sz w:val="24"/>
          <w:szCs w:val="24"/>
        </w:rPr>
      </w:pPr>
      <w:r w:rsidRPr="00BF1E2D">
        <w:rPr>
          <w:rFonts w:ascii="Calibri" w:eastAsia="Times New Roman" w:hAnsi="Calibri" w:cs="Arial"/>
          <w:sz w:val="24"/>
          <w:szCs w:val="24"/>
        </w:rPr>
        <w:t>provide the necessary lighting, temperature and humidity control to ensure the integrity of medicines;</w:t>
      </w:r>
      <w:r w:rsidR="00F76C70">
        <w:rPr>
          <w:rFonts w:ascii="Calibri" w:eastAsia="Times New Roman" w:hAnsi="Calibri" w:cs="Arial"/>
          <w:sz w:val="24"/>
          <w:szCs w:val="24"/>
        </w:rPr>
        <w:t xml:space="preserve"> and</w:t>
      </w:r>
    </w:p>
    <w:p w14:paraId="0B91E59A" w14:textId="77777777" w:rsidR="00BF1E2D" w:rsidRPr="00BF1E2D" w:rsidRDefault="00BF1E2D" w:rsidP="00BF1E2D">
      <w:pPr>
        <w:numPr>
          <w:ilvl w:val="0"/>
          <w:numId w:val="5"/>
        </w:numPr>
        <w:spacing w:before="120" w:after="0" w:line="240" w:lineRule="auto"/>
        <w:ind w:left="357" w:hanging="357"/>
        <w:contextualSpacing/>
        <w:jc w:val="both"/>
        <w:rPr>
          <w:rFonts w:eastAsia="Times New Roman" w:cstheme="minorHAnsi"/>
          <w:sz w:val="24"/>
          <w:szCs w:val="24"/>
        </w:rPr>
      </w:pPr>
      <w:r w:rsidRPr="00BF1E2D">
        <w:rPr>
          <w:rFonts w:ascii="Calibri" w:eastAsia="Times New Roman" w:hAnsi="Calibri" w:cs="Arial"/>
          <w:sz w:val="24"/>
          <w:szCs w:val="24"/>
        </w:rPr>
        <w:t>protect consumer privacy.</w:t>
      </w:r>
    </w:p>
    <w:p w14:paraId="7721F2F3" w14:textId="77777777" w:rsidR="00BF1E2D" w:rsidRPr="00BF1E2D" w:rsidRDefault="00BF1E2D" w:rsidP="00BF1E2D">
      <w:pPr>
        <w:spacing w:after="0" w:line="240" w:lineRule="auto"/>
        <w:ind w:left="360"/>
        <w:contextualSpacing/>
        <w:jc w:val="both"/>
        <w:rPr>
          <w:rFonts w:eastAsia="Times New Roman" w:cstheme="minorHAnsi"/>
          <w:sz w:val="28"/>
          <w:szCs w:val="24"/>
        </w:rPr>
      </w:pPr>
    </w:p>
    <w:p w14:paraId="6C724258" w14:textId="77777777" w:rsidR="00BF1E2D" w:rsidRPr="00BF1E2D" w:rsidRDefault="00BF1E2D" w:rsidP="008976D2">
      <w:pPr>
        <w:numPr>
          <w:ilvl w:val="0"/>
          <w:numId w:val="7"/>
        </w:numPr>
        <w:spacing w:before="120" w:after="120" w:line="240" w:lineRule="auto"/>
        <w:ind w:left="567" w:hanging="567"/>
        <w:contextualSpacing/>
        <w:jc w:val="both"/>
        <w:rPr>
          <w:rFonts w:eastAsia="Times New Roman" w:cstheme="minorHAnsi"/>
          <w:b/>
          <w:sz w:val="28"/>
          <w:szCs w:val="24"/>
        </w:rPr>
      </w:pPr>
      <w:r w:rsidRPr="00BF1E2D">
        <w:rPr>
          <w:rFonts w:eastAsia="Times New Roman" w:cstheme="minorHAnsi"/>
          <w:b/>
          <w:sz w:val="28"/>
          <w:szCs w:val="24"/>
        </w:rPr>
        <w:t xml:space="preserve">SECURITY </w:t>
      </w:r>
    </w:p>
    <w:p w14:paraId="766823B9" w14:textId="77777777" w:rsidR="00BF1E2D" w:rsidRPr="00BF1E2D" w:rsidRDefault="008976D2" w:rsidP="008976D2">
      <w:pPr>
        <w:tabs>
          <w:tab w:val="left" w:pos="709"/>
        </w:tabs>
        <w:spacing w:after="0" w:line="240" w:lineRule="auto"/>
        <w:ind w:left="709" w:hanging="142"/>
        <w:jc w:val="both"/>
        <w:rPr>
          <w:rFonts w:eastAsia="Times New Roman" w:cstheme="minorHAnsi"/>
          <w:b/>
          <w:sz w:val="24"/>
          <w:szCs w:val="24"/>
        </w:rPr>
      </w:pPr>
      <w:r>
        <w:rPr>
          <w:rFonts w:eastAsia="Times New Roman" w:cstheme="minorHAnsi"/>
          <w:b/>
          <w:sz w:val="24"/>
          <w:szCs w:val="24"/>
        </w:rPr>
        <w:t>4</w:t>
      </w:r>
      <w:r w:rsidR="00BF1E2D" w:rsidRPr="00BF1E2D">
        <w:rPr>
          <w:rFonts w:eastAsia="Times New Roman" w:cstheme="minorHAnsi"/>
          <w:b/>
          <w:sz w:val="24"/>
          <w:szCs w:val="24"/>
        </w:rPr>
        <w:t>.1 PHYSICAL SECURITY</w:t>
      </w:r>
    </w:p>
    <w:p w14:paraId="142F76DB" w14:textId="77777777" w:rsidR="00BF1E2D" w:rsidRPr="00BF1E2D" w:rsidRDefault="00BF1E2D" w:rsidP="00BF1E2D">
      <w:pPr>
        <w:tabs>
          <w:tab w:val="left" w:pos="1134"/>
        </w:tabs>
        <w:spacing w:after="0" w:line="240" w:lineRule="auto"/>
        <w:ind w:left="709"/>
        <w:contextualSpacing/>
        <w:jc w:val="both"/>
        <w:rPr>
          <w:rFonts w:eastAsia="Times New Roman" w:cstheme="minorHAnsi"/>
          <w:b/>
          <w:sz w:val="12"/>
          <w:szCs w:val="12"/>
        </w:rPr>
      </w:pPr>
    </w:p>
    <w:p w14:paraId="7BEF72C4"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P</w:t>
      </w:r>
      <w:r w:rsidR="00F76C70">
        <w:rPr>
          <w:rFonts w:eastAsia="Times New Roman" w:cstheme="minorHAnsi"/>
          <w:sz w:val="24"/>
          <w:szCs w:val="24"/>
        </w:rPr>
        <w:t xml:space="preserve">rofessional </w:t>
      </w:r>
      <w:r w:rsidR="00D56944">
        <w:rPr>
          <w:rFonts w:eastAsia="Times New Roman" w:cstheme="minorHAnsi"/>
          <w:sz w:val="24"/>
          <w:szCs w:val="24"/>
        </w:rPr>
        <w:t>s</w:t>
      </w:r>
      <w:r w:rsidR="00F76C70">
        <w:rPr>
          <w:rFonts w:eastAsia="Times New Roman" w:cstheme="minorHAnsi"/>
          <w:sz w:val="24"/>
          <w:szCs w:val="24"/>
        </w:rPr>
        <w:t xml:space="preserve">ervices </w:t>
      </w:r>
      <w:r w:rsidR="00D56944">
        <w:rPr>
          <w:rFonts w:eastAsia="Times New Roman" w:cstheme="minorHAnsi"/>
          <w:sz w:val="24"/>
          <w:szCs w:val="24"/>
        </w:rPr>
        <w:t>p</w:t>
      </w:r>
      <w:r w:rsidR="00F76C70">
        <w:rPr>
          <w:rFonts w:eastAsia="Times New Roman" w:cstheme="minorHAnsi"/>
          <w:sz w:val="24"/>
          <w:szCs w:val="24"/>
        </w:rPr>
        <w:t>remises</w:t>
      </w:r>
      <w:r w:rsidRPr="00BF1E2D">
        <w:rPr>
          <w:rFonts w:eastAsia="Times New Roman" w:cstheme="minorHAnsi"/>
          <w:sz w:val="24"/>
          <w:szCs w:val="24"/>
        </w:rPr>
        <w:t xml:space="preserve"> must be constructed to prevent unauthorised access through walls, doors windows and ceilings.</w:t>
      </w:r>
    </w:p>
    <w:p w14:paraId="2C12C6C9" w14:textId="77777777" w:rsidR="00BF1E2D" w:rsidRPr="00BF1E2D" w:rsidRDefault="00BF1E2D" w:rsidP="00BF1E2D">
      <w:pPr>
        <w:spacing w:after="0" w:line="240" w:lineRule="auto"/>
        <w:jc w:val="both"/>
        <w:rPr>
          <w:rFonts w:eastAsia="Times New Roman" w:cstheme="minorHAnsi"/>
          <w:sz w:val="12"/>
          <w:szCs w:val="12"/>
        </w:rPr>
      </w:pPr>
    </w:p>
    <w:p w14:paraId="6760D0FA"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External walls should be of solid construction to ensure they cannot be breached.  </w:t>
      </w:r>
    </w:p>
    <w:p w14:paraId="083DFD5C" w14:textId="77777777" w:rsidR="00BF1E2D" w:rsidRPr="00BF1E2D" w:rsidRDefault="00BF1E2D" w:rsidP="00BF1E2D">
      <w:pPr>
        <w:spacing w:after="0" w:line="240" w:lineRule="auto"/>
        <w:jc w:val="both"/>
        <w:rPr>
          <w:rFonts w:eastAsia="Times New Roman" w:cstheme="minorHAnsi"/>
          <w:sz w:val="12"/>
          <w:szCs w:val="12"/>
        </w:rPr>
      </w:pPr>
    </w:p>
    <w:p w14:paraId="4D2D7389"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lastRenderedPageBreak/>
        <w:t xml:space="preserve">Measures </w:t>
      </w:r>
      <w:r w:rsidR="009814FB">
        <w:rPr>
          <w:rFonts w:eastAsia="Times New Roman" w:cstheme="minorHAnsi"/>
          <w:sz w:val="24"/>
          <w:szCs w:val="24"/>
        </w:rPr>
        <w:t xml:space="preserve">are also required </w:t>
      </w:r>
      <w:r w:rsidRPr="00BF1E2D">
        <w:rPr>
          <w:rFonts w:eastAsia="Times New Roman" w:cstheme="minorHAnsi"/>
          <w:sz w:val="24"/>
          <w:szCs w:val="24"/>
        </w:rPr>
        <w:t>to prevent entry through the ceiling. It is recommended that the ceiling spaces are secured to ensure the crawl spaces cannot be accessed from adjoining areas.  It is recommended that walls are continued to the roof line or security grills are installed to cordon off the ceiling space.</w:t>
      </w:r>
    </w:p>
    <w:p w14:paraId="63B622B0" w14:textId="77777777" w:rsidR="00BF1E2D" w:rsidRPr="00BF1E2D" w:rsidRDefault="00BF1E2D" w:rsidP="00BF1E2D">
      <w:pPr>
        <w:spacing w:after="0" w:line="240" w:lineRule="auto"/>
        <w:jc w:val="both"/>
        <w:rPr>
          <w:rFonts w:eastAsia="Times New Roman" w:cstheme="minorHAnsi"/>
          <w:sz w:val="12"/>
          <w:szCs w:val="12"/>
        </w:rPr>
      </w:pPr>
    </w:p>
    <w:p w14:paraId="5D5DA48F"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External doors are to be constructed of a solid core.  Where this is not possible heavy gauge roller door or security grill may be used in addition to a lockable door.</w:t>
      </w:r>
    </w:p>
    <w:p w14:paraId="6C7EEDFE" w14:textId="77777777" w:rsidR="00BF1E2D" w:rsidRPr="00BF1E2D" w:rsidRDefault="00BF1E2D" w:rsidP="00BF1E2D">
      <w:pPr>
        <w:spacing w:after="0" w:line="240" w:lineRule="auto"/>
        <w:jc w:val="both"/>
        <w:rPr>
          <w:rFonts w:eastAsia="Times New Roman" w:cstheme="minorHAnsi"/>
          <w:sz w:val="12"/>
          <w:szCs w:val="12"/>
        </w:rPr>
      </w:pPr>
    </w:p>
    <w:p w14:paraId="5C7D26A1"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All external entry points, including windows and skylights, must be lockable with additional security grills or roller doors.  High security glass providing an equivalent level of security as a security grill or roller door will be accepted.</w:t>
      </w:r>
      <w:r w:rsidRPr="00BF1E2D" w:rsidDel="000B6989">
        <w:rPr>
          <w:rFonts w:eastAsia="Times New Roman" w:cstheme="minorHAnsi"/>
          <w:sz w:val="24"/>
          <w:szCs w:val="24"/>
        </w:rPr>
        <w:t xml:space="preserve"> </w:t>
      </w:r>
    </w:p>
    <w:p w14:paraId="483FC3FB" w14:textId="77777777" w:rsidR="00BF1E2D" w:rsidRPr="00BF1E2D" w:rsidRDefault="00BF1E2D" w:rsidP="00BF1E2D">
      <w:pPr>
        <w:spacing w:after="0" w:line="240" w:lineRule="auto"/>
        <w:jc w:val="both"/>
        <w:rPr>
          <w:rFonts w:eastAsia="Times New Roman" w:cstheme="minorHAnsi"/>
          <w:sz w:val="12"/>
          <w:szCs w:val="12"/>
        </w:rPr>
      </w:pPr>
    </w:p>
    <w:p w14:paraId="514E57B0"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It is recommended that external bollards </w:t>
      </w:r>
      <w:r w:rsidR="009814FB">
        <w:rPr>
          <w:rFonts w:eastAsia="Times New Roman" w:cstheme="minorHAnsi"/>
          <w:sz w:val="24"/>
          <w:szCs w:val="24"/>
        </w:rPr>
        <w:t>or security fencing be</w:t>
      </w:r>
      <w:r w:rsidRPr="00BF1E2D">
        <w:rPr>
          <w:rFonts w:eastAsia="Times New Roman" w:cstheme="minorHAnsi"/>
          <w:sz w:val="24"/>
          <w:szCs w:val="24"/>
        </w:rPr>
        <w:t xml:space="preserve"> considered</w:t>
      </w:r>
      <w:r w:rsidR="009814FB">
        <w:rPr>
          <w:rFonts w:eastAsia="Times New Roman" w:cstheme="minorHAnsi"/>
          <w:sz w:val="24"/>
          <w:szCs w:val="24"/>
        </w:rPr>
        <w:t>.</w:t>
      </w:r>
      <w:r w:rsidRPr="00BF1E2D" w:rsidDel="000B6989">
        <w:rPr>
          <w:rFonts w:eastAsia="Times New Roman" w:cstheme="minorHAnsi"/>
          <w:sz w:val="24"/>
          <w:szCs w:val="24"/>
        </w:rPr>
        <w:t xml:space="preserve"> </w:t>
      </w:r>
    </w:p>
    <w:p w14:paraId="4586DD2B" w14:textId="77777777" w:rsidR="00BF1E2D" w:rsidRPr="00BF1E2D" w:rsidRDefault="00BF1E2D" w:rsidP="00BF1E2D">
      <w:pPr>
        <w:spacing w:after="0" w:line="240" w:lineRule="auto"/>
        <w:jc w:val="both"/>
        <w:rPr>
          <w:rFonts w:eastAsia="Times New Roman" w:cstheme="minorHAnsi"/>
          <w:sz w:val="12"/>
          <w:szCs w:val="12"/>
        </w:rPr>
      </w:pPr>
    </w:p>
    <w:p w14:paraId="61DF997B" w14:textId="77777777" w:rsidR="00BF1E2D" w:rsidRPr="00BF1E2D" w:rsidRDefault="00BF1E2D" w:rsidP="008976D2">
      <w:pPr>
        <w:numPr>
          <w:ilvl w:val="1"/>
          <w:numId w:val="8"/>
        </w:numPr>
        <w:spacing w:before="120" w:after="0" w:line="240" w:lineRule="auto"/>
        <w:ind w:left="993" w:hanging="426"/>
        <w:contextualSpacing/>
        <w:jc w:val="both"/>
        <w:rPr>
          <w:rFonts w:eastAsia="Times New Roman" w:cstheme="minorHAnsi"/>
          <w:b/>
          <w:sz w:val="24"/>
          <w:szCs w:val="24"/>
        </w:rPr>
      </w:pPr>
      <w:r w:rsidRPr="00BF1E2D">
        <w:rPr>
          <w:rFonts w:eastAsia="Times New Roman" w:cstheme="minorHAnsi"/>
          <w:b/>
          <w:sz w:val="24"/>
          <w:szCs w:val="24"/>
        </w:rPr>
        <w:t>ALARM SYSTEMS</w:t>
      </w:r>
    </w:p>
    <w:p w14:paraId="5A0FDBDF" w14:textId="77777777" w:rsidR="00BF1E2D" w:rsidRPr="00BF1E2D" w:rsidRDefault="00BF1E2D" w:rsidP="00BF1E2D">
      <w:pPr>
        <w:spacing w:after="0" w:line="240" w:lineRule="auto"/>
        <w:ind w:left="1455"/>
        <w:contextualSpacing/>
        <w:jc w:val="both"/>
        <w:rPr>
          <w:rFonts w:eastAsia="Times New Roman" w:cstheme="minorHAnsi"/>
          <w:b/>
          <w:sz w:val="12"/>
          <w:szCs w:val="12"/>
        </w:rPr>
      </w:pPr>
    </w:p>
    <w:p w14:paraId="2D72F233" w14:textId="6C9C882C" w:rsidR="00BF1E2D" w:rsidRDefault="00EB3D7C" w:rsidP="00BF1E2D">
      <w:pPr>
        <w:spacing w:after="0" w:line="240" w:lineRule="auto"/>
        <w:jc w:val="both"/>
        <w:rPr>
          <w:rFonts w:eastAsia="Times New Roman" w:cstheme="minorHAnsi"/>
          <w:sz w:val="24"/>
          <w:szCs w:val="24"/>
        </w:rPr>
      </w:pPr>
      <w:r>
        <w:rPr>
          <w:rFonts w:eastAsia="Times New Roman" w:cstheme="minorHAnsi"/>
          <w:sz w:val="24"/>
          <w:szCs w:val="24"/>
        </w:rPr>
        <w:t xml:space="preserve">Professional </w:t>
      </w:r>
      <w:r w:rsidR="00D56944">
        <w:rPr>
          <w:rFonts w:eastAsia="Times New Roman" w:cstheme="minorHAnsi"/>
          <w:sz w:val="24"/>
          <w:szCs w:val="24"/>
        </w:rPr>
        <w:t>s</w:t>
      </w:r>
      <w:r>
        <w:rPr>
          <w:rFonts w:eastAsia="Times New Roman" w:cstheme="minorHAnsi"/>
          <w:sz w:val="24"/>
          <w:szCs w:val="24"/>
        </w:rPr>
        <w:t xml:space="preserve">ervices </w:t>
      </w:r>
      <w:r w:rsidR="00D56944">
        <w:rPr>
          <w:rFonts w:eastAsia="Times New Roman" w:cstheme="minorHAnsi"/>
          <w:sz w:val="24"/>
          <w:szCs w:val="24"/>
        </w:rPr>
        <w:t>p</w:t>
      </w:r>
      <w:r>
        <w:rPr>
          <w:rFonts w:eastAsia="Times New Roman" w:cstheme="minorHAnsi"/>
          <w:sz w:val="24"/>
          <w:szCs w:val="24"/>
        </w:rPr>
        <w:t>remises</w:t>
      </w:r>
      <w:r w:rsidR="00BF1E2D" w:rsidRPr="00BF1E2D">
        <w:rPr>
          <w:rFonts w:eastAsia="Times New Roman" w:cstheme="minorHAnsi"/>
          <w:sz w:val="24"/>
          <w:szCs w:val="24"/>
        </w:rPr>
        <w:t xml:space="preserve"> must be protected by a back to base electronic alarm which meets Australian Standards.  Alarm detectors </w:t>
      </w:r>
      <w:r>
        <w:rPr>
          <w:rFonts w:eastAsia="Times New Roman" w:cstheme="minorHAnsi"/>
          <w:sz w:val="24"/>
          <w:szCs w:val="24"/>
        </w:rPr>
        <w:t>must</w:t>
      </w:r>
      <w:r w:rsidR="00BF1E2D" w:rsidRPr="00BF1E2D">
        <w:rPr>
          <w:rFonts w:eastAsia="Times New Roman" w:cstheme="minorHAnsi"/>
          <w:sz w:val="24"/>
          <w:szCs w:val="24"/>
        </w:rPr>
        <w:t xml:space="preserve"> cover the entire </w:t>
      </w:r>
      <w:r>
        <w:rPr>
          <w:rFonts w:eastAsia="Times New Roman" w:cstheme="minorHAnsi"/>
          <w:sz w:val="24"/>
          <w:szCs w:val="24"/>
        </w:rPr>
        <w:t>internal tenancy</w:t>
      </w:r>
      <w:r w:rsidR="00BF1E2D" w:rsidRPr="00BF1E2D">
        <w:rPr>
          <w:rFonts w:eastAsia="Times New Roman" w:cstheme="minorHAnsi"/>
          <w:sz w:val="24"/>
          <w:szCs w:val="24"/>
        </w:rPr>
        <w:t>.  The alarm system must undergo regular testing and be monitored by a licensed security firm on a 24 hour basis.</w:t>
      </w:r>
    </w:p>
    <w:p w14:paraId="4C210116" w14:textId="201F734C" w:rsidR="000F568A" w:rsidRPr="000F568A" w:rsidRDefault="000F568A" w:rsidP="00BF1E2D">
      <w:pPr>
        <w:spacing w:after="0" w:line="240" w:lineRule="auto"/>
        <w:jc w:val="both"/>
        <w:rPr>
          <w:rFonts w:eastAsia="Times New Roman" w:cstheme="minorHAnsi"/>
          <w:sz w:val="12"/>
          <w:szCs w:val="12"/>
        </w:rPr>
      </w:pPr>
    </w:p>
    <w:p w14:paraId="7196F682" w14:textId="14AD0A2E" w:rsidR="000F568A" w:rsidRDefault="000F568A" w:rsidP="00BF1E2D">
      <w:pPr>
        <w:spacing w:after="0" w:line="240" w:lineRule="auto"/>
        <w:jc w:val="both"/>
        <w:rPr>
          <w:rFonts w:eastAsia="Times New Roman" w:cstheme="minorHAnsi"/>
          <w:sz w:val="24"/>
          <w:szCs w:val="24"/>
        </w:rPr>
      </w:pPr>
      <w:r>
        <w:rPr>
          <w:rFonts w:ascii="Calibri" w:eastAsia="Times New Roman" w:hAnsi="Calibri" w:cs="Times New Roman"/>
          <w:sz w:val="24"/>
          <w:szCs w:val="24"/>
          <w:lang w:eastAsia="en-AU"/>
        </w:rPr>
        <w:t xml:space="preserve">A register of alarm code holders must be kept by </w:t>
      </w:r>
      <w:r w:rsidRPr="00BF1E2D">
        <w:rPr>
          <w:rFonts w:ascii="Calibri" w:eastAsia="Times New Roman" w:hAnsi="Calibri" w:cs="Times New Roman"/>
          <w:sz w:val="24"/>
          <w:szCs w:val="24"/>
          <w:lang w:eastAsia="en-AU"/>
        </w:rPr>
        <w:t>pharmacist-in-charge or a pharmacist nominated by the pharmacist-in-charge</w:t>
      </w:r>
      <w:r>
        <w:rPr>
          <w:rFonts w:ascii="Calibri" w:eastAsia="Times New Roman" w:hAnsi="Calibri" w:cs="Times New Roman"/>
          <w:sz w:val="24"/>
          <w:szCs w:val="24"/>
          <w:lang w:eastAsia="en-AU"/>
        </w:rPr>
        <w:t>.</w:t>
      </w:r>
    </w:p>
    <w:p w14:paraId="0B69AA6C" w14:textId="77777777" w:rsidR="000F568A" w:rsidRPr="00BF1E2D" w:rsidRDefault="000F568A" w:rsidP="00BF1E2D">
      <w:pPr>
        <w:spacing w:after="0" w:line="240" w:lineRule="auto"/>
        <w:jc w:val="both"/>
        <w:rPr>
          <w:rFonts w:eastAsia="Times New Roman" w:cstheme="minorHAnsi"/>
          <w:sz w:val="12"/>
          <w:szCs w:val="12"/>
        </w:rPr>
      </w:pPr>
    </w:p>
    <w:p w14:paraId="2DC24F7E" w14:textId="77777777" w:rsidR="00BF1E2D" w:rsidRPr="008976D2" w:rsidRDefault="00BF1E2D" w:rsidP="00BF1E2D">
      <w:pPr>
        <w:spacing w:after="0" w:line="240" w:lineRule="auto"/>
        <w:jc w:val="both"/>
        <w:rPr>
          <w:rFonts w:eastAsia="Times New Roman" w:cstheme="minorHAnsi"/>
          <w:sz w:val="28"/>
          <w:szCs w:val="28"/>
        </w:rPr>
      </w:pPr>
    </w:p>
    <w:p w14:paraId="12705AC2" w14:textId="77777777" w:rsidR="00BF1E2D" w:rsidRPr="00BF1E2D" w:rsidRDefault="00BF1E2D" w:rsidP="00BF1E2D">
      <w:pPr>
        <w:numPr>
          <w:ilvl w:val="0"/>
          <w:numId w:val="7"/>
        </w:numPr>
        <w:spacing w:before="120" w:after="0" w:line="240" w:lineRule="auto"/>
        <w:contextualSpacing/>
        <w:jc w:val="both"/>
        <w:rPr>
          <w:rFonts w:eastAsia="Times New Roman" w:cstheme="minorHAnsi"/>
          <w:b/>
          <w:sz w:val="28"/>
          <w:szCs w:val="24"/>
        </w:rPr>
      </w:pPr>
      <w:r w:rsidRPr="00BF1E2D">
        <w:rPr>
          <w:rFonts w:eastAsia="Times New Roman" w:cstheme="minorHAnsi"/>
          <w:b/>
          <w:sz w:val="28"/>
          <w:szCs w:val="24"/>
        </w:rPr>
        <w:t xml:space="preserve"> ACCESS </w:t>
      </w:r>
    </w:p>
    <w:p w14:paraId="7B5690FA" w14:textId="77777777" w:rsidR="00BF1E2D" w:rsidRPr="00BF1E2D" w:rsidRDefault="00BF1E2D" w:rsidP="00BF1E2D">
      <w:pPr>
        <w:spacing w:after="0" w:line="240" w:lineRule="auto"/>
        <w:jc w:val="both"/>
        <w:rPr>
          <w:rFonts w:eastAsia="Times New Roman" w:cstheme="minorHAnsi"/>
          <w:b/>
          <w:sz w:val="12"/>
          <w:szCs w:val="12"/>
        </w:rPr>
      </w:pPr>
    </w:p>
    <w:p w14:paraId="4304B21E" w14:textId="761122CB" w:rsidR="00BF1E2D" w:rsidRPr="00BF1E2D" w:rsidRDefault="00BF1E2D" w:rsidP="00BF1E2D">
      <w:pPr>
        <w:spacing w:after="0" w:line="240" w:lineRule="auto"/>
        <w:jc w:val="both"/>
        <w:rPr>
          <w:rFonts w:ascii="Calibri" w:eastAsia="Times New Roman" w:hAnsi="Calibri" w:cs="Arial"/>
          <w:sz w:val="24"/>
          <w:szCs w:val="24"/>
        </w:rPr>
      </w:pPr>
      <w:r w:rsidRPr="00BF1E2D">
        <w:rPr>
          <w:rFonts w:ascii="Calibri" w:eastAsia="Times New Roman" w:hAnsi="Calibri" w:cs="Arial"/>
          <w:sz w:val="24"/>
          <w:szCs w:val="24"/>
        </w:rPr>
        <w:t xml:space="preserve">The </w:t>
      </w:r>
      <w:r w:rsidR="00EB3D7C">
        <w:rPr>
          <w:rFonts w:ascii="Calibri" w:eastAsia="Times New Roman" w:hAnsi="Calibri" w:cs="Arial"/>
          <w:sz w:val="24"/>
          <w:szCs w:val="24"/>
        </w:rPr>
        <w:t>professional services premises</w:t>
      </w:r>
      <w:r w:rsidRPr="00BF1E2D">
        <w:rPr>
          <w:rFonts w:ascii="Calibri" w:eastAsia="Times New Roman" w:hAnsi="Calibri" w:cs="Arial"/>
          <w:sz w:val="24"/>
          <w:szCs w:val="24"/>
        </w:rPr>
        <w:t xml:space="preserve"> </w:t>
      </w:r>
      <w:r w:rsidR="00EB3D7C">
        <w:rPr>
          <w:rFonts w:ascii="Calibri" w:eastAsia="Times New Roman" w:hAnsi="Calibri" w:cs="Arial"/>
          <w:sz w:val="24"/>
          <w:szCs w:val="24"/>
        </w:rPr>
        <w:t xml:space="preserve">is subject to the provisions of the </w:t>
      </w:r>
      <w:r w:rsidR="00C02ECF">
        <w:rPr>
          <w:rFonts w:ascii="Calibri" w:eastAsia="Times New Roman" w:hAnsi="Calibri" w:cs="Arial"/>
          <w:sz w:val="24"/>
          <w:szCs w:val="24"/>
        </w:rPr>
        <w:t xml:space="preserve">              </w:t>
      </w:r>
      <w:r w:rsidR="00EB3D7C">
        <w:rPr>
          <w:rFonts w:ascii="Calibri" w:eastAsia="Times New Roman" w:hAnsi="Calibri" w:cs="Arial"/>
          <w:sz w:val="24"/>
          <w:szCs w:val="24"/>
        </w:rPr>
        <w:t xml:space="preserve">                                </w:t>
      </w:r>
      <w:r w:rsidRPr="00BF1E2D">
        <w:rPr>
          <w:rFonts w:ascii="Calibri" w:eastAsia="Times New Roman" w:hAnsi="Calibri" w:cs="Arial"/>
          <w:i/>
          <w:sz w:val="24"/>
          <w:szCs w:val="24"/>
        </w:rPr>
        <w:t>Health Practitioners Act</w:t>
      </w:r>
      <w:r w:rsidRPr="00BF1E2D">
        <w:rPr>
          <w:rFonts w:ascii="Calibri" w:eastAsia="Times New Roman" w:hAnsi="Calibri" w:cs="Arial"/>
          <w:sz w:val="24"/>
          <w:szCs w:val="24"/>
        </w:rPr>
        <w:t xml:space="preserve">, Schedule 7, Clauses </w:t>
      </w:r>
      <w:r w:rsidR="00EB3D7C">
        <w:rPr>
          <w:rFonts w:ascii="Calibri" w:eastAsia="Times New Roman" w:hAnsi="Calibri" w:cs="Arial"/>
          <w:sz w:val="24"/>
          <w:szCs w:val="24"/>
        </w:rPr>
        <w:t xml:space="preserve">6, 7 and </w:t>
      </w:r>
      <w:r w:rsidRPr="00BF1E2D">
        <w:rPr>
          <w:rFonts w:ascii="Calibri" w:eastAsia="Times New Roman" w:hAnsi="Calibri" w:cs="Arial"/>
          <w:sz w:val="24"/>
          <w:szCs w:val="24"/>
        </w:rPr>
        <w:t>9 that:</w:t>
      </w:r>
    </w:p>
    <w:p w14:paraId="263206EF" w14:textId="77777777" w:rsidR="00BF1E2D" w:rsidRPr="00BF1E2D" w:rsidRDefault="00BF1E2D" w:rsidP="00BF1E2D">
      <w:pPr>
        <w:numPr>
          <w:ilvl w:val="0"/>
          <w:numId w:val="3"/>
        </w:numPr>
        <w:spacing w:before="120" w:after="0" w:line="240" w:lineRule="auto"/>
        <w:ind w:left="357" w:hanging="357"/>
        <w:contextualSpacing/>
        <w:jc w:val="both"/>
        <w:rPr>
          <w:rFonts w:ascii="Calibri" w:eastAsia="Times New Roman" w:hAnsi="Calibri" w:cs="Arial"/>
          <w:b/>
          <w:sz w:val="24"/>
          <w:szCs w:val="24"/>
          <w:lang w:eastAsia="en-AU"/>
        </w:rPr>
      </w:pPr>
      <w:r w:rsidRPr="00BF1E2D">
        <w:rPr>
          <w:rFonts w:ascii="Calibri" w:eastAsia="Times New Roman" w:hAnsi="Calibri" w:cs="Arial"/>
          <w:sz w:val="24"/>
          <w:szCs w:val="24"/>
          <w:lang w:eastAsia="en-AU"/>
        </w:rPr>
        <w:t>non-pharmacists must not enter or remain in a p</w:t>
      </w:r>
      <w:r w:rsidR="00EB3D7C">
        <w:rPr>
          <w:rFonts w:ascii="Calibri" w:eastAsia="Times New Roman" w:hAnsi="Calibri" w:cs="Arial"/>
          <w:sz w:val="24"/>
          <w:szCs w:val="24"/>
          <w:lang w:eastAsia="en-AU"/>
        </w:rPr>
        <w:t>rofessional services premises</w:t>
      </w:r>
      <w:r w:rsidRPr="00BF1E2D">
        <w:rPr>
          <w:rFonts w:ascii="Calibri" w:eastAsia="Times New Roman" w:hAnsi="Calibri" w:cs="Arial"/>
          <w:sz w:val="24"/>
          <w:szCs w:val="24"/>
          <w:lang w:eastAsia="en-AU"/>
        </w:rPr>
        <w:t xml:space="preserve"> unless under the direct supervision of a pharmacist</w:t>
      </w:r>
      <w:r w:rsidR="00EB3D7C">
        <w:rPr>
          <w:rFonts w:ascii="Calibri" w:eastAsia="Times New Roman" w:hAnsi="Calibri" w:cs="Arial"/>
          <w:sz w:val="24"/>
          <w:szCs w:val="24"/>
          <w:lang w:eastAsia="en-AU"/>
        </w:rPr>
        <w:t>;</w:t>
      </w:r>
      <w:r w:rsidRPr="00BF1E2D">
        <w:rPr>
          <w:rFonts w:ascii="Calibri" w:eastAsia="Times New Roman" w:hAnsi="Calibri" w:cs="Arial"/>
          <w:sz w:val="24"/>
          <w:szCs w:val="24"/>
          <w:lang w:eastAsia="en-AU"/>
        </w:rPr>
        <w:t xml:space="preserve"> and </w:t>
      </w:r>
    </w:p>
    <w:p w14:paraId="6840D716" w14:textId="7F6BEB4D" w:rsidR="00BF1E2D" w:rsidRDefault="00BF1E2D" w:rsidP="00BF1E2D">
      <w:pPr>
        <w:numPr>
          <w:ilvl w:val="0"/>
          <w:numId w:val="4"/>
        </w:numPr>
        <w:spacing w:before="120" w:after="0" w:line="240" w:lineRule="auto"/>
        <w:ind w:left="357" w:hanging="357"/>
        <w:contextualSpacing/>
        <w:jc w:val="both"/>
        <w:rPr>
          <w:rFonts w:ascii="Calibri" w:eastAsia="Times New Roman" w:hAnsi="Calibri" w:cs="Times New Roman"/>
          <w:sz w:val="24"/>
          <w:szCs w:val="24"/>
          <w:lang w:eastAsia="en-AU"/>
        </w:rPr>
      </w:pPr>
      <w:r w:rsidRPr="00BF1E2D">
        <w:rPr>
          <w:rFonts w:ascii="Calibri" w:eastAsia="Times New Roman" w:hAnsi="Calibri" w:cs="Times New Roman"/>
          <w:sz w:val="24"/>
          <w:szCs w:val="24"/>
          <w:lang w:eastAsia="en-AU"/>
        </w:rPr>
        <w:t>a p</w:t>
      </w:r>
      <w:r w:rsidR="00EB3D7C">
        <w:rPr>
          <w:rFonts w:ascii="Calibri" w:eastAsia="Times New Roman" w:hAnsi="Calibri" w:cs="Times New Roman"/>
          <w:sz w:val="24"/>
          <w:szCs w:val="24"/>
          <w:lang w:eastAsia="en-AU"/>
        </w:rPr>
        <w:t>rofessional services premises</w:t>
      </w:r>
      <w:r w:rsidRPr="00BF1E2D">
        <w:rPr>
          <w:rFonts w:ascii="Calibri" w:eastAsia="Times New Roman" w:hAnsi="Calibri" w:cs="Times New Roman"/>
          <w:sz w:val="24"/>
          <w:szCs w:val="24"/>
          <w:lang w:eastAsia="en-AU"/>
        </w:rPr>
        <w:t xml:space="preserve"> key holder must be the pharmacist-in-charge or a pharmacist nominated by the pharmacist-in-charge. Codes or swipe cards used to access the premises are considered keys.</w:t>
      </w:r>
    </w:p>
    <w:p w14:paraId="6A2EE979" w14:textId="7DD0B648" w:rsidR="000F568A" w:rsidRPr="00BF1E2D" w:rsidRDefault="000F568A" w:rsidP="00BF1E2D">
      <w:pPr>
        <w:numPr>
          <w:ilvl w:val="0"/>
          <w:numId w:val="4"/>
        </w:numPr>
        <w:spacing w:before="120" w:after="0" w:line="240" w:lineRule="auto"/>
        <w:ind w:left="357" w:hanging="357"/>
        <w:contextualSpacing/>
        <w:jc w:val="both"/>
        <w:rPr>
          <w:rFonts w:ascii="Calibri" w:eastAsia="Times New Roman" w:hAnsi="Calibri" w:cs="Times New Roman"/>
          <w:sz w:val="24"/>
          <w:szCs w:val="24"/>
          <w:lang w:eastAsia="en-AU"/>
        </w:rPr>
      </w:pPr>
      <w:r>
        <w:rPr>
          <w:rFonts w:ascii="Calibri" w:eastAsia="Times New Roman" w:hAnsi="Calibri" w:cs="Times New Roman"/>
          <w:sz w:val="24"/>
          <w:szCs w:val="24"/>
          <w:lang w:eastAsia="en-AU"/>
        </w:rPr>
        <w:t xml:space="preserve">a register of key holders must be kept by the </w:t>
      </w:r>
      <w:r w:rsidRPr="00BF1E2D">
        <w:rPr>
          <w:rFonts w:ascii="Calibri" w:eastAsia="Times New Roman" w:hAnsi="Calibri" w:cs="Times New Roman"/>
          <w:sz w:val="24"/>
          <w:szCs w:val="24"/>
          <w:lang w:eastAsia="en-AU"/>
        </w:rPr>
        <w:t>pharmacist-in-charge or a pharmacist nominated by the pharmacist-in-charge</w:t>
      </w:r>
      <w:r>
        <w:rPr>
          <w:rFonts w:ascii="Calibri" w:eastAsia="Times New Roman" w:hAnsi="Calibri" w:cs="Times New Roman"/>
          <w:sz w:val="24"/>
          <w:szCs w:val="24"/>
          <w:lang w:eastAsia="en-AU"/>
        </w:rPr>
        <w:t xml:space="preserve">. </w:t>
      </w:r>
    </w:p>
    <w:p w14:paraId="1A886626" w14:textId="77777777" w:rsidR="00BF1E2D" w:rsidRPr="00BF1E2D" w:rsidRDefault="00BF1E2D" w:rsidP="00BF1E2D">
      <w:pPr>
        <w:spacing w:before="120" w:after="0" w:line="240" w:lineRule="auto"/>
        <w:ind w:left="357"/>
        <w:contextualSpacing/>
        <w:jc w:val="both"/>
        <w:rPr>
          <w:rFonts w:ascii="Calibri" w:eastAsia="Times New Roman" w:hAnsi="Calibri" w:cs="Times New Roman"/>
          <w:sz w:val="12"/>
          <w:szCs w:val="12"/>
          <w:lang w:eastAsia="en-AU"/>
        </w:rPr>
      </w:pPr>
    </w:p>
    <w:p w14:paraId="7DC37CA5" w14:textId="77777777" w:rsidR="00BF1E2D" w:rsidRPr="00BF1E2D" w:rsidRDefault="00BF1E2D" w:rsidP="00BF1E2D">
      <w:pPr>
        <w:spacing w:after="0" w:line="240" w:lineRule="auto"/>
        <w:jc w:val="both"/>
        <w:rPr>
          <w:rFonts w:ascii="Calibri" w:eastAsia="Times New Roman" w:hAnsi="Calibri" w:cs="Times New Roman"/>
          <w:sz w:val="24"/>
          <w:szCs w:val="24"/>
          <w:lang w:eastAsia="en-AU"/>
        </w:rPr>
      </w:pPr>
      <w:r w:rsidRPr="00BF1E2D">
        <w:rPr>
          <w:rFonts w:ascii="Calibri" w:eastAsia="Times New Roman" w:hAnsi="Calibri" w:cs="Times New Roman"/>
          <w:sz w:val="24"/>
          <w:szCs w:val="24"/>
          <w:lang w:eastAsia="en-AU"/>
        </w:rPr>
        <w:t xml:space="preserve">The premises must </w:t>
      </w:r>
      <w:r w:rsidR="00EB3D7C">
        <w:rPr>
          <w:rFonts w:ascii="Calibri" w:eastAsia="Times New Roman" w:hAnsi="Calibri" w:cs="Times New Roman"/>
          <w:sz w:val="24"/>
          <w:szCs w:val="24"/>
          <w:lang w:eastAsia="en-AU"/>
        </w:rPr>
        <w:t xml:space="preserve">be constructed in such a manner as to </w:t>
      </w:r>
      <w:r w:rsidRPr="00BF1E2D">
        <w:rPr>
          <w:rFonts w:ascii="Calibri" w:eastAsia="Times New Roman" w:hAnsi="Calibri" w:cs="Times New Roman"/>
          <w:sz w:val="24"/>
          <w:szCs w:val="24"/>
          <w:lang w:eastAsia="en-AU"/>
        </w:rPr>
        <w:t>allow 24 hour access by the pharmacist-in-charge.</w:t>
      </w:r>
    </w:p>
    <w:p w14:paraId="4F91B2A9" w14:textId="77777777" w:rsidR="00BF1E2D" w:rsidRPr="008976D2" w:rsidRDefault="00BF1E2D" w:rsidP="00BF1E2D">
      <w:pPr>
        <w:spacing w:after="0" w:line="240" w:lineRule="auto"/>
        <w:jc w:val="both"/>
        <w:rPr>
          <w:rFonts w:ascii="Calibri" w:eastAsia="Times New Roman" w:hAnsi="Calibri" w:cs="Times New Roman"/>
          <w:sz w:val="28"/>
          <w:szCs w:val="28"/>
          <w:lang w:eastAsia="en-AU"/>
        </w:rPr>
      </w:pPr>
    </w:p>
    <w:p w14:paraId="237FECD1" w14:textId="77777777" w:rsidR="00BF1E2D" w:rsidRPr="00BF1E2D" w:rsidRDefault="00BF1E2D" w:rsidP="00BF1E2D">
      <w:pPr>
        <w:numPr>
          <w:ilvl w:val="0"/>
          <w:numId w:val="7"/>
        </w:numPr>
        <w:spacing w:before="120" w:after="0" w:line="240" w:lineRule="auto"/>
        <w:contextualSpacing/>
        <w:jc w:val="both"/>
        <w:rPr>
          <w:rFonts w:eastAsia="Times New Roman" w:cstheme="minorHAnsi"/>
          <w:b/>
          <w:sz w:val="28"/>
          <w:szCs w:val="24"/>
        </w:rPr>
      </w:pPr>
      <w:r w:rsidRPr="00BF1E2D">
        <w:rPr>
          <w:rFonts w:eastAsia="Times New Roman" w:cstheme="minorHAnsi"/>
          <w:b/>
          <w:sz w:val="28"/>
          <w:szCs w:val="24"/>
        </w:rPr>
        <w:t>LIGHTING</w:t>
      </w:r>
    </w:p>
    <w:p w14:paraId="7DACC538" w14:textId="77777777" w:rsidR="00BF1E2D" w:rsidRPr="00BF1E2D" w:rsidRDefault="00BF1E2D" w:rsidP="00BF1E2D">
      <w:pPr>
        <w:spacing w:after="0" w:line="240" w:lineRule="auto"/>
        <w:jc w:val="both"/>
        <w:rPr>
          <w:rFonts w:eastAsia="Times New Roman" w:cstheme="minorHAnsi"/>
          <w:b/>
          <w:sz w:val="12"/>
          <w:szCs w:val="12"/>
        </w:rPr>
      </w:pPr>
    </w:p>
    <w:p w14:paraId="6816F77E" w14:textId="77777777" w:rsidR="00BF1E2D" w:rsidRPr="00BF1E2D" w:rsidRDefault="00BF1E2D" w:rsidP="00BF1E2D">
      <w:pPr>
        <w:spacing w:after="0" w:line="240" w:lineRule="auto"/>
        <w:jc w:val="both"/>
        <w:rPr>
          <w:rFonts w:ascii="Calibri" w:eastAsia="Times New Roman" w:hAnsi="Calibri" w:cs="Arial"/>
          <w:sz w:val="24"/>
          <w:szCs w:val="24"/>
        </w:rPr>
      </w:pPr>
      <w:r w:rsidRPr="00BF1E2D">
        <w:rPr>
          <w:rFonts w:ascii="Calibri" w:eastAsia="Times New Roman" w:hAnsi="Calibri" w:cs="Arial"/>
          <w:sz w:val="24"/>
          <w:szCs w:val="24"/>
        </w:rPr>
        <w:t xml:space="preserve">All working areas used for the </w:t>
      </w:r>
      <w:r w:rsidR="00700211">
        <w:rPr>
          <w:rFonts w:ascii="Calibri" w:eastAsia="Times New Roman" w:hAnsi="Calibri" w:cs="Arial"/>
          <w:sz w:val="24"/>
          <w:szCs w:val="24"/>
        </w:rPr>
        <w:t xml:space="preserve">selection, production </w:t>
      </w:r>
      <w:r w:rsidRPr="00BF1E2D">
        <w:rPr>
          <w:rFonts w:ascii="Calibri" w:eastAsia="Times New Roman" w:hAnsi="Calibri" w:cs="Arial"/>
          <w:sz w:val="24"/>
          <w:szCs w:val="24"/>
        </w:rPr>
        <w:t xml:space="preserve">and </w:t>
      </w:r>
      <w:r w:rsidR="00700211">
        <w:rPr>
          <w:rFonts w:ascii="Calibri" w:eastAsia="Times New Roman" w:hAnsi="Calibri" w:cs="Arial"/>
          <w:sz w:val="24"/>
          <w:szCs w:val="24"/>
        </w:rPr>
        <w:t>distribution</w:t>
      </w:r>
      <w:r w:rsidRPr="00BF1E2D">
        <w:rPr>
          <w:rFonts w:ascii="Calibri" w:eastAsia="Times New Roman" w:hAnsi="Calibri" w:cs="Arial"/>
          <w:sz w:val="24"/>
          <w:szCs w:val="24"/>
        </w:rPr>
        <w:t xml:space="preserve"> of </w:t>
      </w:r>
      <w:r w:rsidR="00700211" w:rsidRPr="00BF1E2D">
        <w:rPr>
          <w:rFonts w:ascii="Calibri" w:eastAsia="Times New Roman" w:hAnsi="Calibri" w:cs="Arial"/>
          <w:sz w:val="24"/>
          <w:szCs w:val="24"/>
        </w:rPr>
        <w:t>medicin</w:t>
      </w:r>
      <w:r w:rsidR="00700211">
        <w:rPr>
          <w:rFonts w:ascii="Calibri" w:eastAsia="Times New Roman" w:hAnsi="Calibri" w:cs="Arial"/>
          <w:sz w:val="24"/>
          <w:szCs w:val="24"/>
        </w:rPr>
        <w:t>al preparations</w:t>
      </w:r>
      <w:r w:rsidRPr="00BF1E2D">
        <w:rPr>
          <w:rFonts w:ascii="Calibri" w:eastAsia="Times New Roman" w:hAnsi="Calibri" w:cs="Arial"/>
          <w:sz w:val="24"/>
          <w:szCs w:val="24"/>
        </w:rPr>
        <w:t xml:space="preserve"> must have adequate lighting in the range of 320 to 400 Lux.</w:t>
      </w:r>
    </w:p>
    <w:p w14:paraId="54218A3E" w14:textId="77777777" w:rsidR="00BF1E2D" w:rsidRPr="00BF1E2D" w:rsidRDefault="00BF1E2D" w:rsidP="00BF1E2D">
      <w:pPr>
        <w:spacing w:after="0" w:line="240" w:lineRule="auto"/>
        <w:jc w:val="both"/>
        <w:rPr>
          <w:rFonts w:ascii="Calibri" w:eastAsia="Times New Roman" w:hAnsi="Calibri" w:cs="Arial"/>
          <w:sz w:val="12"/>
          <w:szCs w:val="12"/>
        </w:rPr>
      </w:pPr>
    </w:p>
    <w:p w14:paraId="25C154D3" w14:textId="77777777" w:rsidR="00BF1E2D" w:rsidRPr="00BF1E2D" w:rsidRDefault="00BF1E2D" w:rsidP="00BF1E2D">
      <w:pPr>
        <w:spacing w:after="0" w:line="240" w:lineRule="auto"/>
        <w:jc w:val="both"/>
        <w:rPr>
          <w:rFonts w:ascii="Calibri" w:eastAsia="Times New Roman" w:hAnsi="Calibri" w:cs="Arial"/>
          <w:sz w:val="24"/>
          <w:szCs w:val="24"/>
        </w:rPr>
      </w:pPr>
      <w:r w:rsidRPr="00BF1E2D">
        <w:rPr>
          <w:rFonts w:ascii="Calibri" w:eastAsia="Times New Roman" w:hAnsi="Calibri" w:cs="Arial"/>
          <w:sz w:val="24"/>
          <w:szCs w:val="24"/>
        </w:rPr>
        <w:t>Undue exposure of medicines to direct sunlight, or ultraviolet light, must be prevented.</w:t>
      </w:r>
    </w:p>
    <w:p w14:paraId="04DFF680" w14:textId="77777777" w:rsidR="00BF1E2D" w:rsidRPr="008976D2" w:rsidRDefault="00BF1E2D" w:rsidP="00BF1E2D">
      <w:pPr>
        <w:spacing w:after="0" w:line="240" w:lineRule="auto"/>
        <w:jc w:val="both"/>
        <w:rPr>
          <w:rFonts w:ascii="Calibri" w:eastAsia="Times New Roman" w:hAnsi="Calibri" w:cs="Arial"/>
          <w:sz w:val="28"/>
          <w:szCs w:val="28"/>
        </w:rPr>
      </w:pPr>
    </w:p>
    <w:p w14:paraId="1F0049CB" w14:textId="77777777" w:rsidR="00BF1E2D" w:rsidRPr="00BF1E2D" w:rsidRDefault="00BF1E2D" w:rsidP="00BF1E2D">
      <w:pPr>
        <w:numPr>
          <w:ilvl w:val="0"/>
          <w:numId w:val="7"/>
        </w:numPr>
        <w:spacing w:before="120" w:after="0" w:line="240" w:lineRule="auto"/>
        <w:contextualSpacing/>
        <w:jc w:val="both"/>
        <w:rPr>
          <w:rFonts w:eastAsia="Times New Roman" w:cstheme="minorHAnsi"/>
          <w:b/>
          <w:sz w:val="28"/>
          <w:szCs w:val="24"/>
        </w:rPr>
      </w:pPr>
      <w:r w:rsidRPr="00BF1E2D">
        <w:rPr>
          <w:rFonts w:eastAsia="Times New Roman" w:cstheme="minorHAnsi"/>
          <w:b/>
          <w:sz w:val="28"/>
          <w:szCs w:val="24"/>
        </w:rPr>
        <w:t>TEMPERATURE CONTROL</w:t>
      </w:r>
    </w:p>
    <w:p w14:paraId="691BBA8C" w14:textId="77777777" w:rsidR="00BF1E2D" w:rsidRPr="00BF1E2D" w:rsidRDefault="00BF1E2D" w:rsidP="00BF1E2D">
      <w:pPr>
        <w:spacing w:after="0" w:line="240" w:lineRule="auto"/>
        <w:jc w:val="both"/>
        <w:rPr>
          <w:rFonts w:eastAsia="Times New Roman" w:cstheme="minorHAnsi"/>
          <w:b/>
          <w:sz w:val="12"/>
          <w:szCs w:val="12"/>
        </w:rPr>
      </w:pPr>
    </w:p>
    <w:p w14:paraId="67D089D6" w14:textId="77777777" w:rsidR="00700211"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lastRenderedPageBreak/>
        <w:t>The p</w:t>
      </w:r>
      <w:r w:rsidR="00700211">
        <w:rPr>
          <w:rFonts w:eastAsia="Times New Roman" w:cstheme="minorHAnsi"/>
          <w:sz w:val="24"/>
          <w:szCs w:val="24"/>
        </w:rPr>
        <w:t>rofessional services premises</w:t>
      </w:r>
      <w:r w:rsidRPr="00BF1E2D">
        <w:rPr>
          <w:rFonts w:eastAsia="Times New Roman" w:cstheme="minorHAnsi"/>
          <w:sz w:val="24"/>
          <w:szCs w:val="24"/>
        </w:rPr>
        <w:t xml:space="preserve"> must have the facility to ensure that recommended storage conditions for medicines are maintained at all times.  For room temperature stable medicines, temperatures must not exceed 25°C. </w:t>
      </w:r>
    </w:p>
    <w:p w14:paraId="4644D60C" w14:textId="77777777" w:rsidR="00BF1E2D" w:rsidRPr="00BF1E2D" w:rsidRDefault="00BF1E2D" w:rsidP="00BF1E2D">
      <w:pPr>
        <w:spacing w:after="0" w:line="240" w:lineRule="auto"/>
        <w:jc w:val="both"/>
        <w:rPr>
          <w:rFonts w:eastAsia="Times New Roman" w:cstheme="minorHAnsi"/>
          <w:sz w:val="12"/>
          <w:szCs w:val="12"/>
        </w:rPr>
      </w:pPr>
      <w:r w:rsidRPr="00BF1E2D">
        <w:rPr>
          <w:rFonts w:eastAsia="Times New Roman" w:cstheme="minorHAnsi"/>
          <w:sz w:val="24"/>
          <w:szCs w:val="24"/>
        </w:rPr>
        <w:t xml:space="preserve"> </w:t>
      </w:r>
    </w:p>
    <w:p w14:paraId="59D45523"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The p</w:t>
      </w:r>
      <w:r w:rsidR="00700211">
        <w:rPr>
          <w:rFonts w:eastAsia="Times New Roman" w:cstheme="minorHAnsi"/>
          <w:sz w:val="24"/>
          <w:szCs w:val="24"/>
        </w:rPr>
        <w:t>remises</w:t>
      </w:r>
      <w:r w:rsidRPr="00BF1E2D">
        <w:rPr>
          <w:rFonts w:eastAsia="Times New Roman" w:cstheme="minorHAnsi"/>
          <w:sz w:val="24"/>
          <w:szCs w:val="24"/>
        </w:rPr>
        <w:t xml:space="preserve"> must also have the facilities to ensure that temperature conditions are maintained during periods of power outages. A backup generator allowing uninterrupted power supply to critical items is recommended.  Alternatively facilities that allow temperature monitoring and recording can be used to inform evaluation of stock viability after a power interruption.</w:t>
      </w:r>
    </w:p>
    <w:p w14:paraId="41D30432" w14:textId="77777777" w:rsidR="00BF1E2D" w:rsidRPr="00BF1E2D" w:rsidRDefault="00BF1E2D" w:rsidP="00BF1E2D">
      <w:pPr>
        <w:spacing w:after="0" w:line="240" w:lineRule="auto"/>
        <w:jc w:val="both"/>
        <w:rPr>
          <w:rFonts w:eastAsia="Times New Roman" w:cstheme="minorHAnsi"/>
          <w:sz w:val="12"/>
          <w:szCs w:val="12"/>
        </w:rPr>
      </w:pPr>
    </w:p>
    <w:p w14:paraId="5754BBE4"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Consideration should also be given to control of humidity to ensure medicines integrity.</w:t>
      </w:r>
    </w:p>
    <w:p w14:paraId="68B90FD7" w14:textId="77777777" w:rsidR="00BF1E2D" w:rsidRPr="00BF1E2D" w:rsidRDefault="00BF1E2D" w:rsidP="00BF1E2D">
      <w:pPr>
        <w:spacing w:after="0" w:line="240" w:lineRule="auto"/>
        <w:jc w:val="both"/>
        <w:rPr>
          <w:rFonts w:eastAsia="Times New Roman" w:cstheme="minorHAnsi"/>
          <w:sz w:val="28"/>
          <w:szCs w:val="24"/>
        </w:rPr>
      </w:pPr>
    </w:p>
    <w:p w14:paraId="1EA1882B" w14:textId="77777777" w:rsidR="00BF1E2D" w:rsidRPr="00BF1E2D" w:rsidRDefault="00700211" w:rsidP="00BF1E2D">
      <w:pPr>
        <w:numPr>
          <w:ilvl w:val="0"/>
          <w:numId w:val="7"/>
        </w:numPr>
        <w:spacing w:before="120" w:after="0" w:line="240" w:lineRule="auto"/>
        <w:contextualSpacing/>
        <w:jc w:val="both"/>
        <w:rPr>
          <w:rFonts w:eastAsia="Times New Roman" w:cstheme="minorHAnsi"/>
          <w:b/>
          <w:sz w:val="12"/>
          <w:szCs w:val="12"/>
        </w:rPr>
      </w:pPr>
      <w:r>
        <w:rPr>
          <w:rFonts w:eastAsia="Times New Roman" w:cstheme="minorHAnsi"/>
          <w:b/>
          <w:sz w:val="28"/>
          <w:szCs w:val="24"/>
        </w:rPr>
        <w:t>DISPENSARY</w:t>
      </w:r>
      <w:r w:rsidR="007C2500">
        <w:rPr>
          <w:rFonts w:eastAsia="Times New Roman" w:cstheme="minorHAnsi"/>
          <w:b/>
          <w:sz w:val="28"/>
          <w:szCs w:val="24"/>
        </w:rPr>
        <w:t>/DAA/COMPOUNDING PREPARATION AREA</w:t>
      </w:r>
    </w:p>
    <w:p w14:paraId="35F1A407" w14:textId="77777777" w:rsidR="00BF1E2D" w:rsidRPr="00BF1E2D" w:rsidRDefault="00BF1E2D" w:rsidP="00BF1E2D">
      <w:pPr>
        <w:spacing w:after="0" w:line="240" w:lineRule="auto"/>
        <w:jc w:val="both"/>
        <w:rPr>
          <w:rFonts w:eastAsia="Times New Roman" w:cstheme="minorHAnsi"/>
          <w:b/>
          <w:sz w:val="12"/>
          <w:szCs w:val="12"/>
        </w:rPr>
      </w:pPr>
    </w:p>
    <w:p w14:paraId="122E622F"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The </w:t>
      </w:r>
      <w:r w:rsidR="007C2500">
        <w:rPr>
          <w:rFonts w:eastAsia="Times New Roman" w:cstheme="minorHAnsi"/>
          <w:sz w:val="24"/>
          <w:szCs w:val="24"/>
        </w:rPr>
        <w:t>preparation area</w:t>
      </w:r>
      <w:r w:rsidR="00A9146B">
        <w:rPr>
          <w:rFonts w:eastAsia="Times New Roman" w:cstheme="minorHAnsi"/>
          <w:sz w:val="24"/>
          <w:szCs w:val="24"/>
        </w:rPr>
        <w:t xml:space="preserve"> </w:t>
      </w:r>
      <w:r w:rsidRPr="00BF1E2D">
        <w:rPr>
          <w:rFonts w:eastAsia="Times New Roman" w:cstheme="minorHAnsi"/>
          <w:sz w:val="24"/>
          <w:szCs w:val="24"/>
        </w:rPr>
        <w:t xml:space="preserve">must consist of an area of at least </w:t>
      </w:r>
      <w:r w:rsidR="00700211">
        <w:rPr>
          <w:rFonts w:eastAsia="Times New Roman" w:cstheme="minorHAnsi"/>
          <w:sz w:val="24"/>
          <w:szCs w:val="24"/>
        </w:rPr>
        <w:t>8</w:t>
      </w:r>
      <w:r w:rsidRPr="00BF1E2D">
        <w:rPr>
          <w:rFonts w:eastAsia="Times New Roman" w:cstheme="minorHAnsi"/>
          <w:sz w:val="24"/>
          <w:szCs w:val="24"/>
        </w:rPr>
        <w:t>m</w:t>
      </w:r>
      <w:r w:rsidRPr="00BF1E2D">
        <w:rPr>
          <w:rFonts w:eastAsia="Times New Roman" w:cstheme="minorHAnsi"/>
          <w:sz w:val="24"/>
          <w:szCs w:val="24"/>
          <w:vertAlign w:val="superscript"/>
        </w:rPr>
        <w:t>2</w:t>
      </w:r>
      <w:r w:rsidR="00A9146B">
        <w:rPr>
          <w:rFonts w:eastAsia="Times New Roman" w:cstheme="minorHAnsi"/>
          <w:sz w:val="24"/>
          <w:szCs w:val="24"/>
        </w:rPr>
        <w:t>,</w:t>
      </w:r>
      <w:r w:rsidR="00700211">
        <w:rPr>
          <w:rFonts w:eastAsia="Times New Roman" w:cstheme="minorHAnsi"/>
          <w:sz w:val="24"/>
          <w:szCs w:val="24"/>
          <w:vertAlign w:val="superscript"/>
        </w:rPr>
        <w:t xml:space="preserve"> </w:t>
      </w:r>
      <w:r w:rsidR="00700211">
        <w:rPr>
          <w:rFonts w:eastAsia="Times New Roman" w:cstheme="minorHAnsi"/>
          <w:sz w:val="24"/>
          <w:szCs w:val="24"/>
        </w:rPr>
        <w:t xml:space="preserve">or lesser </w:t>
      </w:r>
      <w:r w:rsidRPr="00BF1E2D">
        <w:rPr>
          <w:rFonts w:eastAsia="Times New Roman" w:cstheme="minorHAnsi"/>
          <w:sz w:val="24"/>
          <w:szCs w:val="24"/>
        </w:rPr>
        <w:t>may be considered by individual application to the Committee.</w:t>
      </w:r>
    </w:p>
    <w:p w14:paraId="18795D0C" w14:textId="77777777" w:rsidR="00BF1E2D" w:rsidRPr="00BF1E2D" w:rsidRDefault="00BF1E2D" w:rsidP="00BF1E2D">
      <w:pPr>
        <w:spacing w:after="0" w:line="240" w:lineRule="auto"/>
        <w:jc w:val="both"/>
        <w:rPr>
          <w:rFonts w:eastAsia="Times New Roman" w:cstheme="minorHAnsi"/>
          <w:sz w:val="12"/>
          <w:szCs w:val="12"/>
        </w:rPr>
      </w:pPr>
    </w:p>
    <w:p w14:paraId="02F36324"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The </w:t>
      </w:r>
      <w:r w:rsidR="007C2500">
        <w:rPr>
          <w:rFonts w:eastAsia="Times New Roman" w:cstheme="minorHAnsi"/>
          <w:sz w:val="24"/>
          <w:szCs w:val="24"/>
        </w:rPr>
        <w:t>preparation</w:t>
      </w:r>
      <w:r w:rsidR="00700211">
        <w:rPr>
          <w:rFonts w:eastAsia="Times New Roman" w:cstheme="minorHAnsi"/>
          <w:sz w:val="24"/>
          <w:szCs w:val="24"/>
        </w:rPr>
        <w:t xml:space="preserve"> area</w:t>
      </w:r>
      <w:r w:rsidRPr="00BF1E2D">
        <w:rPr>
          <w:rFonts w:eastAsia="Times New Roman" w:cstheme="minorHAnsi"/>
          <w:sz w:val="24"/>
          <w:szCs w:val="24"/>
        </w:rPr>
        <w:t xml:space="preserve"> must contain at least one dispense station. For further detail on the requirements for a dispense station see the </w:t>
      </w:r>
      <w:r w:rsidRPr="00BF1E2D">
        <w:rPr>
          <w:rFonts w:eastAsia="Times New Roman" w:cstheme="minorHAnsi"/>
          <w:i/>
          <w:sz w:val="24"/>
          <w:szCs w:val="24"/>
          <w:u w:val="single"/>
        </w:rPr>
        <w:t>Mandatory Equipment List</w:t>
      </w:r>
      <w:r w:rsidRPr="00BF1E2D">
        <w:rPr>
          <w:rFonts w:eastAsia="Times New Roman" w:cstheme="minorHAnsi"/>
          <w:sz w:val="24"/>
          <w:szCs w:val="24"/>
        </w:rPr>
        <w:t>.</w:t>
      </w:r>
    </w:p>
    <w:p w14:paraId="4E2EFE05" w14:textId="77777777" w:rsidR="00BF1E2D" w:rsidRPr="00BF1E2D" w:rsidRDefault="00BF1E2D" w:rsidP="00BF1E2D">
      <w:pPr>
        <w:spacing w:after="0" w:line="240" w:lineRule="auto"/>
        <w:jc w:val="both"/>
        <w:rPr>
          <w:rFonts w:eastAsia="Times New Roman" w:cstheme="minorHAnsi"/>
          <w:sz w:val="12"/>
          <w:szCs w:val="12"/>
        </w:rPr>
      </w:pPr>
    </w:p>
    <w:p w14:paraId="7BD3EA85"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The </w:t>
      </w:r>
      <w:r w:rsidR="007C2500">
        <w:rPr>
          <w:rFonts w:eastAsia="Times New Roman" w:cstheme="minorHAnsi"/>
          <w:sz w:val="24"/>
          <w:szCs w:val="24"/>
        </w:rPr>
        <w:t>preparation</w:t>
      </w:r>
      <w:r w:rsidR="00700211">
        <w:rPr>
          <w:rFonts w:eastAsia="Times New Roman" w:cstheme="minorHAnsi"/>
          <w:sz w:val="24"/>
          <w:szCs w:val="24"/>
        </w:rPr>
        <w:t xml:space="preserve"> area</w:t>
      </w:r>
      <w:r w:rsidRPr="00BF1E2D">
        <w:rPr>
          <w:rFonts w:eastAsia="Times New Roman" w:cstheme="minorHAnsi"/>
          <w:sz w:val="24"/>
          <w:szCs w:val="24"/>
        </w:rPr>
        <w:t xml:space="preserve"> must contain at least 1m</w:t>
      </w:r>
      <w:r w:rsidRPr="00BF1E2D">
        <w:rPr>
          <w:rFonts w:eastAsia="Times New Roman" w:cstheme="minorHAnsi"/>
          <w:sz w:val="24"/>
          <w:szCs w:val="24"/>
          <w:vertAlign w:val="superscript"/>
        </w:rPr>
        <w:t>2</w:t>
      </w:r>
      <w:r w:rsidRPr="00BF1E2D">
        <w:rPr>
          <w:rFonts w:eastAsia="Times New Roman" w:cstheme="minorHAnsi"/>
          <w:sz w:val="24"/>
          <w:szCs w:val="24"/>
        </w:rPr>
        <w:t xml:space="preserve"> of free bench space for the preparation of dispensed medicines.  This bench space does not include the tops of machinery, sinks or fixtures and must not be designated for any other activity.  It is strongly recommended that the bench space be immediately adjacent to the dispense station.</w:t>
      </w:r>
    </w:p>
    <w:p w14:paraId="0BD8E5F5" w14:textId="77777777" w:rsidR="00BF1E2D" w:rsidRPr="00BF1E2D" w:rsidRDefault="00BF1E2D" w:rsidP="00BF1E2D">
      <w:pPr>
        <w:spacing w:after="0" w:line="240" w:lineRule="auto"/>
        <w:jc w:val="both"/>
        <w:rPr>
          <w:rFonts w:eastAsia="Times New Roman" w:cstheme="minorHAnsi"/>
          <w:sz w:val="12"/>
          <w:szCs w:val="12"/>
        </w:rPr>
      </w:pPr>
    </w:p>
    <w:p w14:paraId="1AFAA260" w14:textId="77777777" w:rsidR="00BF1E2D" w:rsidRPr="00BF1E2D" w:rsidRDefault="00A9146B" w:rsidP="00BF1E2D">
      <w:pPr>
        <w:spacing w:after="0" w:line="240" w:lineRule="auto"/>
        <w:jc w:val="both"/>
        <w:rPr>
          <w:rFonts w:eastAsia="Times New Roman" w:cstheme="minorHAnsi"/>
          <w:sz w:val="24"/>
          <w:szCs w:val="24"/>
        </w:rPr>
      </w:pPr>
      <w:r>
        <w:rPr>
          <w:rFonts w:eastAsia="Times New Roman" w:cstheme="minorHAnsi"/>
          <w:sz w:val="24"/>
          <w:szCs w:val="24"/>
        </w:rPr>
        <w:t xml:space="preserve">The </w:t>
      </w:r>
      <w:r w:rsidR="007C2500">
        <w:rPr>
          <w:rFonts w:eastAsia="Times New Roman" w:cstheme="minorHAnsi"/>
          <w:sz w:val="24"/>
          <w:szCs w:val="24"/>
        </w:rPr>
        <w:t>preparation</w:t>
      </w:r>
      <w:r w:rsidR="00BF1E2D" w:rsidRPr="00BF1E2D">
        <w:rPr>
          <w:rFonts w:eastAsia="Times New Roman" w:cstheme="minorHAnsi"/>
          <w:sz w:val="24"/>
          <w:szCs w:val="24"/>
        </w:rPr>
        <w:t xml:space="preserve"> must have access to a sink for the preparation of medicines and maintenance of medicine preparation equipment.</w:t>
      </w:r>
    </w:p>
    <w:p w14:paraId="1C340376" w14:textId="77777777" w:rsidR="007135FE" w:rsidRPr="00DE2891" w:rsidRDefault="007135FE" w:rsidP="007135FE">
      <w:pPr>
        <w:spacing w:after="0" w:line="240" w:lineRule="auto"/>
        <w:ind w:left="710"/>
        <w:jc w:val="both"/>
        <w:rPr>
          <w:rFonts w:eastAsia="Times New Roman" w:cstheme="minorHAnsi"/>
          <w:b/>
          <w:sz w:val="12"/>
          <w:szCs w:val="12"/>
        </w:rPr>
      </w:pPr>
    </w:p>
    <w:p w14:paraId="12757D64" w14:textId="77777777" w:rsidR="003607E0" w:rsidRPr="001C1DD4" w:rsidRDefault="003607E0" w:rsidP="00DE2891">
      <w:pPr>
        <w:spacing w:after="0" w:line="240" w:lineRule="auto"/>
        <w:ind w:left="710"/>
        <w:jc w:val="both"/>
        <w:rPr>
          <w:rFonts w:eastAsia="Times New Roman" w:cstheme="minorHAnsi"/>
          <w:b/>
          <w:sz w:val="28"/>
          <w:szCs w:val="24"/>
        </w:rPr>
      </w:pPr>
    </w:p>
    <w:p w14:paraId="40582FA8" w14:textId="1255F3C1" w:rsidR="005D0511" w:rsidRPr="00BF1E2D" w:rsidRDefault="00BF1E2D" w:rsidP="00DE2891">
      <w:pPr>
        <w:numPr>
          <w:ilvl w:val="0"/>
          <w:numId w:val="7"/>
        </w:numPr>
        <w:spacing w:before="120" w:after="0" w:line="240" w:lineRule="auto"/>
        <w:ind w:left="567" w:hanging="567"/>
        <w:contextualSpacing/>
        <w:jc w:val="both"/>
        <w:rPr>
          <w:rFonts w:eastAsia="Times New Roman" w:cstheme="minorHAnsi"/>
          <w:b/>
          <w:sz w:val="28"/>
          <w:szCs w:val="24"/>
        </w:rPr>
      </w:pPr>
      <w:r w:rsidRPr="00BF1E2D">
        <w:rPr>
          <w:rFonts w:eastAsia="Times New Roman" w:cstheme="minorHAnsi"/>
          <w:b/>
          <w:sz w:val="28"/>
          <w:szCs w:val="24"/>
        </w:rPr>
        <w:t xml:space="preserve"> SCHEDULE 8 SAFE</w:t>
      </w:r>
      <w:r w:rsidR="00AB4F48">
        <w:rPr>
          <w:rFonts w:eastAsia="Times New Roman" w:cstheme="minorHAnsi"/>
          <w:b/>
          <w:sz w:val="28"/>
          <w:szCs w:val="24"/>
        </w:rPr>
        <w:t xml:space="preserve"> </w:t>
      </w:r>
    </w:p>
    <w:p w14:paraId="12292111" w14:textId="77777777" w:rsidR="00BF1E2D" w:rsidRPr="00BF1E2D" w:rsidRDefault="00BF1E2D" w:rsidP="00BF1E2D">
      <w:pPr>
        <w:spacing w:after="0" w:line="240" w:lineRule="auto"/>
        <w:jc w:val="both"/>
        <w:rPr>
          <w:rFonts w:eastAsia="Times New Roman" w:cstheme="minorHAnsi"/>
          <w:b/>
          <w:sz w:val="12"/>
          <w:szCs w:val="12"/>
        </w:rPr>
      </w:pPr>
    </w:p>
    <w:p w14:paraId="4EE64545" w14:textId="03187AB6" w:rsidR="00BF1E2D" w:rsidRPr="00C02ECF" w:rsidRDefault="00BF1E2D" w:rsidP="00BF1E2D">
      <w:pPr>
        <w:spacing w:after="0" w:line="240" w:lineRule="auto"/>
        <w:jc w:val="both"/>
        <w:rPr>
          <w:rFonts w:eastAsia="Times New Roman" w:cstheme="minorHAnsi"/>
          <w:sz w:val="24"/>
          <w:szCs w:val="24"/>
        </w:rPr>
      </w:pPr>
      <w:r w:rsidRPr="00C02ECF">
        <w:rPr>
          <w:rFonts w:eastAsia="Times New Roman" w:cstheme="minorHAnsi"/>
          <w:sz w:val="24"/>
          <w:szCs w:val="24"/>
        </w:rPr>
        <w:t>The p</w:t>
      </w:r>
      <w:r w:rsidR="005D0511" w:rsidRPr="00C02ECF">
        <w:rPr>
          <w:rFonts w:eastAsia="Times New Roman" w:cstheme="minorHAnsi"/>
          <w:sz w:val="24"/>
          <w:szCs w:val="24"/>
        </w:rPr>
        <w:t>rofessional services premises</w:t>
      </w:r>
      <w:r w:rsidRPr="00C02ECF">
        <w:rPr>
          <w:rFonts w:eastAsia="Times New Roman" w:cstheme="minorHAnsi"/>
          <w:sz w:val="24"/>
          <w:szCs w:val="24"/>
        </w:rPr>
        <w:t xml:space="preserve"> </w:t>
      </w:r>
      <w:r w:rsidR="00AB4F48" w:rsidRPr="00C02ECF">
        <w:rPr>
          <w:rFonts w:eastAsia="Times New Roman" w:cstheme="minorHAnsi"/>
          <w:sz w:val="24"/>
          <w:szCs w:val="24"/>
        </w:rPr>
        <w:t xml:space="preserve">may have a requirement for a </w:t>
      </w:r>
      <w:r w:rsidRPr="00C02ECF">
        <w:rPr>
          <w:rFonts w:eastAsia="Times New Roman" w:cstheme="minorHAnsi"/>
          <w:sz w:val="24"/>
          <w:szCs w:val="24"/>
        </w:rPr>
        <w:t xml:space="preserve">safe for the storage of Schedule 8 substances. </w:t>
      </w:r>
      <w:r w:rsidR="00AB4F48" w:rsidRPr="00C02ECF">
        <w:rPr>
          <w:rFonts w:eastAsia="Times New Roman" w:cstheme="minorHAnsi"/>
          <w:sz w:val="24"/>
          <w:szCs w:val="24"/>
        </w:rPr>
        <w:t>If installed, the</w:t>
      </w:r>
      <w:r w:rsidRPr="00C02ECF">
        <w:rPr>
          <w:rFonts w:eastAsia="Times New Roman" w:cstheme="minorHAnsi"/>
          <w:sz w:val="24"/>
          <w:szCs w:val="24"/>
        </w:rPr>
        <w:t xml:space="preserve"> safe</w:t>
      </w:r>
      <w:r w:rsidR="00AB4F48" w:rsidRPr="00C02ECF">
        <w:rPr>
          <w:rFonts w:eastAsia="Times New Roman" w:cstheme="minorHAnsi"/>
          <w:sz w:val="24"/>
          <w:szCs w:val="24"/>
        </w:rPr>
        <w:t>(s)</w:t>
      </w:r>
      <w:r w:rsidRPr="00C02ECF">
        <w:rPr>
          <w:rFonts w:eastAsia="Times New Roman" w:cstheme="minorHAnsi"/>
          <w:sz w:val="24"/>
          <w:szCs w:val="24"/>
        </w:rPr>
        <w:t xml:space="preserve"> used for storing S8 substances must comply with the </w:t>
      </w:r>
      <w:r w:rsidRPr="00C02ECF">
        <w:rPr>
          <w:rFonts w:eastAsia="Times New Roman" w:cstheme="minorHAnsi"/>
          <w:sz w:val="24"/>
          <w:szCs w:val="24"/>
          <w:u w:val="single"/>
        </w:rPr>
        <w:t>Code of Practice for the Transport and Storage of Schedule 8 Substances</w:t>
      </w:r>
      <w:r w:rsidRPr="00C02ECF">
        <w:rPr>
          <w:rFonts w:eastAsia="Times New Roman" w:cstheme="minorHAnsi"/>
          <w:sz w:val="24"/>
          <w:szCs w:val="24"/>
        </w:rPr>
        <w:t>.</w:t>
      </w:r>
      <w:r w:rsidR="00AB4F48" w:rsidRPr="00C02ECF">
        <w:rPr>
          <w:rFonts w:eastAsia="Times New Roman" w:cstheme="minorHAnsi"/>
          <w:sz w:val="24"/>
          <w:szCs w:val="24"/>
        </w:rPr>
        <w:t xml:space="preserve"> If a safe is not installed, the professional services premises must have a policy on the storage of S8 substances, should the need arise.</w:t>
      </w:r>
      <w:r w:rsidRPr="00C02ECF">
        <w:rPr>
          <w:rFonts w:eastAsia="Times New Roman" w:cstheme="minorHAnsi"/>
          <w:sz w:val="24"/>
          <w:szCs w:val="24"/>
        </w:rPr>
        <w:t xml:space="preserve"> </w:t>
      </w:r>
    </w:p>
    <w:p w14:paraId="72FC3577" w14:textId="77777777" w:rsidR="00BF1E2D" w:rsidRPr="00C02ECF" w:rsidRDefault="00BF1E2D" w:rsidP="00BF1E2D">
      <w:pPr>
        <w:spacing w:after="0" w:line="240" w:lineRule="auto"/>
        <w:jc w:val="both"/>
        <w:rPr>
          <w:rFonts w:eastAsia="Times New Roman" w:cstheme="minorHAnsi"/>
          <w:sz w:val="28"/>
          <w:szCs w:val="28"/>
        </w:rPr>
      </w:pPr>
    </w:p>
    <w:p w14:paraId="509C086C" w14:textId="41D9A39B" w:rsidR="00BF1E2D" w:rsidRPr="00C02ECF" w:rsidRDefault="00BF1E2D" w:rsidP="00DE2891">
      <w:pPr>
        <w:numPr>
          <w:ilvl w:val="0"/>
          <w:numId w:val="7"/>
        </w:numPr>
        <w:spacing w:before="120" w:after="0" w:line="240" w:lineRule="auto"/>
        <w:ind w:left="567" w:hanging="567"/>
        <w:contextualSpacing/>
        <w:jc w:val="both"/>
        <w:rPr>
          <w:rFonts w:eastAsia="Times New Roman" w:cstheme="minorHAnsi"/>
          <w:b/>
          <w:sz w:val="28"/>
          <w:szCs w:val="24"/>
        </w:rPr>
      </w:pPr>
      <w:r w:rsidRPr="00C02ECF">
        <w:rPr>
          <w:rFonts w:eastAsia="Times New Roman" w:cstheme="minorHAnsi"/>
          <w:b/>
          <w:sz w:val="28"/>
          <w:szCs w:val="24"/>
        </w:rPr>
        <w:t xml:space="preserve"> REFRIGERATOR</w:t>
      </w:r>
      <w:r w:rsidR="00AB4F48" w:rsidRPr="00C02ECF">
        <w:rPr>
          <w:rFonts w:eastAsia="Times New Roman" w:cstheme="minorHAnsi"/>
          <w:b/>
          <w:sz w:val="28"/>
          <w:szCs w:val="24"/>
        </w:rPr>
        <w:t xml:space="preserve"> </w:t>
      </w:r>
    </w:p>
    <w:p w14:paraId="0CFBEA2F" w14:textId="77777777" w:rsidR="00BF1E2D" w:rsidRPr="00C02ECF" w:rsidRDefault="00BF1E2D" w:rsidP="00BF1E2D">
      <w:pPr>
        <w:spacing w:after="0" w:line="240" w:lineRule="auto"/>
        <w:jc w:val="both"/>
        <w:rPr>
          <w:rFonts w:eastAsia="Times New Roman" w:cstheme="minorHAnsi"/>
          <w:b/>
          <w:sz w:val="12"/>
          <w:szCs w:val="12"/>
        </w:rPr>
      </w:pPr>
    </w:p>
    <w:p w14:paraId="4FE56DFC" w14:textId="50F48FB5" w:rsidR="00AB4F48" w:rsidRPr="00C02ECF" w:rsidRDefault="00BF1E2D" w:rsidP="00AB4F48">
      <w:pPr>
        <w:spacing w:after="0" w:line="240" w:lineRule="auto"/>
        <w:jc w:val="both"/>
        <w:rPr>
          <w:rFonts w:eastAsia="Times New Roman" w:cstheme="minorHAnsi"/>
          <w:sz w:val="24"/>
          <w:szCs w:val="24"/>
        </w:rPr>
      </w:pPr>
      <w:r w:rsidRPr="00C02ECF">
        <w:rPr>
          <w:rFonts w:eastAsia="Times New Roman" w:cstheme="minorHAnsi"/>
          <w:sz w:val="24"/>
          <w:szCs w:val="24"/>
        </w:rPr>
        <w:t>The p</w:t>
      </w:r>
      <w:r w:rsidR="005D0511" w:rsidRPr="00C02ECF">
        <w:rPr>
          <w:rFonts w:eastAsia="Times New Roman" w:cstheme="minorHAnsi"/>
          <w:sz w:val="24"/>
          <w:szCs w:val="24"/>
        </w:rPr>
        <w:t>rofessional services premises</w:t>
      </w:r>
      <w:r w:rsidRPr="00C02ECF">
        <w:rPr>
          <w:rFonts w:eastAsia="Times New Roman" w:cstheme="minorHAnsi"/>
          <w:sz w:val="24"/>
          <w:szCs w:val="24"/>
        </w:rPr>
        <w:t xml:space="preserve"> </w:t>
      </w:r>
      <w:r w:rsidR="00AB4F48" w:rsidRPr="00C02ECF">
        <w:rPr>
          <w:rFonts w:eastAsia="Times New Roman" w:cstheme="minorHAnsi"/>
          <w:sz w:val="24"/>
          <w:szCs w:val="24"/>
        </w:rPr>
        <w:t>may</w:t>
      </w:r>
      <w:r w:rsidRPr="00C02ECF">
        <w:rPr>
          <w:rFonts w:eastAsia="Times New Roman" w:cstheme="minorHAnsi"/>
          <w:sz w:val="24"/>
          <w:szCs w:val="24"/>
        </w:rPr>
        <w:t xml:space="preserve"> have a </w:t>
      </w:r>
      <w:r w:rsidR="00AB4F48" w:rsidRPr="00C02ECF">
        <w:rPr>
          <w:rFonts w:eastAsia="Times New Roman" w:cstheme="minorHAnsi"/>
          <w:sz w:val="24"/>
          <w:szCs w:val="24"/>
        </w:rPr>
        <w:t>requirement for a</w:t>
      </w:r>
      <w:r w:rsidRPr="00C02ECF">
        <w:rPr>
          <w:rFonts w:eastAsia="Times New Roman" w:cstheme="minorHAnsi"/>
          <w:sz w:val="24"/>
          <w:szCs w:val="24"/>
        </w:rPr>
        <w:t xml:space="preserve"> refrigerator for the storage of temperature sensitive medicines. </w:t>
      </w:r>
      <w:r w:rsidR="00AB4F48" w:rsidRPr="00C02ECF">
        <w:rPr>
          <w:rFonts w:eastAsia="Times New Roman" w:cstheme="minorHAnsi"/>
          <w:sz w:val="24"/>
          <w:szCs w:val="24"/>
        </w:rPr>
        <w:t>If utilised, the</w:t>
      </w:r>
      <w:r w:rsidRPr="00C02ECF">
        <w:rPr>
          <w:rFonts w:eastAsia="Times New Roman" w:cstheme="minorHAnsi"/>
          <w:sz w:val="24"/>
          <w:szCs w:val="24"/>
        </w:rPr>
        <w:t xml:space="preserve"> refrigerator</w:t>
      </w:r>
      <w:r w:rsidR="00AB4F48" w:rsidRPr="00C02ECF">
        <w:rPr>
          <w:rFonts w:eastAsia="Times New Roman" w:cstheme="minorHAnsi"/>
          <w:sz w:val="24"/>
          <w:szCs w:val="24"/>
        </w:rPr>
        <w:t>(</w:t>
      </w:r>
      <w:r w:rsidRPr="00C02ECF">
        <w:rPr>
          <w:rFonts w:eastAsia="Times New Roman" w:cstheme="minorHAnsi"/>
          <w:sz w:val="24"/>
          <w:szCs w:val="24"/>
        </w:rPr>
        <w:t>s</w:t>
      </w:r>
      <w:r w:rsidR="00AB4F48" w:rsidRPr="00C02ECF">
        <w:rPr>
          <w:rFonts w:eastAsia="Times New Roman" w:cstheme="minorHAnsi"/>
          <w:sz w:val="24"/>
          <w:szCs w:val="24"/>
        </w:rPr>
        <w:t>)</w:t>
      </w:r>
      <w:r w:rsidRPr="00C02ECF">
        <w:rPr>
          <w:rFonts w:eastAsia="Times New Roman" w:cstheme="minorHAnsi"/>
          <w:sz w:val="24"/>
          <w:szCs w:val="24"/>
        </w:rPr>
        <w:t xml:space="preserve"> used for the storage of medicines must comply with </w:t>
      </w:r>
      <w:r w:rsidRPr="00C02ECF">
        <w:rPr>
          <w:rFonts w:eastAsia="Times New Roman" w:cstheme="minorHAnsi"/>
          <w:sz w:val="24"/>
          <w:szCs w:val="24"/>
          <w:u w:val="single"/>
        </w:rPr>
        <w:t>National Vaccine Storage Guidelines (</w:t>
      </w:r>
      <w:r w:rsidRPr="00C02ECF">
        <w:rPr>
          <w:rFonts w:eastAsia="Times New Roman" w:cstheme="minorHAnsi"/>
          <w:i/>
          <w:sz w:val="24"/>
          <w:szCs w:val="24"/>
          <w:u w:val="single"/>
        </w:rPr>
        <w:t>Strive for 5</w:t>
      </w:r>
      <w:r w:rsidRPr="00C02ECF">
        <w:rPr>
          <w:rFonts w:eastAsia="Times New Roman" w:cstheme="minorHAnsi"/>
          <w:sz w:val="24"/>
          <w:szCs w:val="24"/>
          <w:u w:val="single"/>
        </w:rPr>
        <w:t>)</w:t>
      </w:r>
      <w:r w:rsidRPr="00C02ECF">
        <w:rPr>
          <w:rFonts w:eastAsia="Times New Roman" w:cstheme="minorHAnsi"/>
          <w:sz w:val="24"/>
          <w:szCs w:val="24"/>
        </w:rPr>
        <w:t xml:space="preserve"> and must be dedicated to the storage of pharmaceutical products.</w:t>
      </w:r>
      <w:r w:rsidR="00AB4F48" w:rsidRPr="00C02ECF">
        <w:rPr>
          <w:rFonts w:eastAsia="Times New Roman" w:cstheme="minorHAnsi"/>
          <w:sz w:val="24"/>
          <w:szCs w:val="24"/>
        </w:rPr>
        <w:t xml:space="preserve"> If a refrigerator is not available, the professional services premises must have a policy on the safe storage of temperature sensitive medicines, should the need arise. </w:t>
      </w:r>
    </w:p>
    <w:p w14:paraId="3753C379" w14:textId="2FE5717D" w:rsidR="00BF1E2D" w:rsidRPr="00C02ECF" w:rsidRDefault="00BF1E2D" w:rsidP="00BF1E2D">
      <w:pPr>
        <w:spacing w:after="0" w:line="240" w:lineRule="auto"/>
        <w:jc w:val="both"/>
        <w:rPr>
          <w:rFonts w:eastAsia="Times New Roman" w:cstheme="minorHAnsi"/>
          <w:sz w:val="24"/>
          <w:szCs w:val="24"/>
        </w:rPr>
      </w:pPr>
    </w:p>
    <w:p w14:paraId="237ECDDA" w14:textId="77777777" w:rsidR="00BF1E2D" w:rsidRPr="00BF1E2D" w:rsidRDefault="00BF1E2D" w:rsidP="00BF1E2D">
      <w:pPr>
        <w:spacing w:after="0" w:line="240" w:lineRule="auto"/>
        <w:jc w:val="both"/>
        <w:rPr>
          <w:rFonts w:eastAsia="Times New Roman" w:cstheme="minorHAnsi"/>
          <w:sz w:val="28"/>
          <w:szCs w:val="28"/>
        </w:rPr>
      </w:pPr>
    </w:p>
    <w:p w14:paraId="52ABF651" w14:textId="77777777" w:rsidR="00BF1E2D" w:rsidRPr="00BF1E2D" w:rsidRDefault="00BF1E2D" w:rsidP="00DE2891">
      <w:pPr>
        <w:numPr>
          <w:ilvl w:val="0"/>
          <w:numId w:val="7"/>
        </w:numPr>
        <w:spacing w:before="120" w:after="0" w:line="240" w:lineRule="auto"/>
        <w:ind w:left="567" w:hanging="567"/>
        <w:contextualSpacing/>
        <w:jc w:val="both"/>
        <w:rPr>
          <w:rFonts w:eastAsia="Times New Roman" w:cstheme="minorHAnsi"/>
          <w:b/>
          <w:sz w:val="28"/>
          <w:szCs w:val="24"/>
        </w:rPr>
      </w:pPr>
      <w:r w:rsidRPr="00BF1E2D">
        <w:rPr>
          <w:rFonts w:eastAsia="Times New Roman" w:cstheme="minorHAnsi"/>
          <w:b/>
          <w:sz w:val="28"/>
          <w:szCs w:val="24"/>
        </w:rPr>
        <w:t xml:space="preserve"> SINKS</w:t>
      </w:r>
    </w:p>
    <w:p w14:paraId="2A155E43" w14:textId="77777777" w:rsidR="00BF1E2D" w:rsidRPr="00BF1E2D" w:rsidRDefault="00BF1E2D" w:rsidP="00BF1E2D">
      <w:pPr>
        <w:spacing w:after="0" w:line="240" w:lineRule="auto"/>
        <w:ind w:left="360"/>
        <w:jc w:val="both"/>
        <w:rPr>
          <w:rFonts w:eastAsia="Times New Roman" w:cstheme="minorHAnsi"/>
          <w:b/>
          <w:sz w:val="12"/>
          <w:szCs w:val="12"/>
        </w:rPr>
      </w:pPr>
    </w:p>
    <w:p w14:paraId="10CE0C35"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lastRenderedPageBreak/>
        <w:t>The p</w:t>
      </w:r>
      <w:r w:rsidR="005D0511">
        <w:rPr>
          <w:rFonts w:eastAsia="Times New Roman" w:cstheme="minorHAnsi"/>
          <w:sz w:val="24"/>
          <w:szCs w:val="24"/>
        </w:rPr>
        <w:t xml:space="preserve">rofessional services premises </w:t>
      </w:r>
      <w:r w:rsidRPr="00BF1E2D">
        <w:rPr>
          <w:rFonts w:eastAsia="Times New Roman" w:cstheme="minorHAnsi"/>
          <w:sz w:val="24"/>
          <w:szCs w:val="24"/>
        </w:rPr>
        <w:t>must have a sink with running hot and cold water dedicated to support hand hygiene practices.</w:t>
      </w:r>
    </w:p>
    <w:p w14:paraId="4BB6F4E4" w14:textId="77777777" w:rsidR="00BF1E2D" w:rsidRPr="00BF1E2D" w:rsidRDefault="00BF1E2D" w:rsidP="00BF1E2D">
      <w:pPr>
        <w:spacing w:after="0" w:line="240" w:lineRule="auto"/>
        <w:jc w:val="both"/>
        <w:rPr>
          <w:rFonts w:eastAsia="Times New Roman" w:cstheme="minorHAnsi"/>
          <w:i/>
          <w:sz w:val="24"/>
          <w:szCs w:val="24"/>
        </w:rPr>
      </w:pPr>
      <w:r w:rsidRPr="00BF1E2D">
        <w:rPr>
          <w:rFonts w:eastAsia="Times New Roman" w:cstheme="minorHAnsi"/>
          <w:i/>
          <w:sz w:val="24"/>
          <w:szCs w:val="24"/>
        </w:rPr>
        <w:t>Note: this sink must be separate, with dedicated water source and drainage, to sinks used for other purposes.</w:t>
      </w:r>
    </w:p>
    <w:p w14:paraId="44DDAC0A" w14:textId="77777777" w:rsidR="00BF1E2D" w:rsidRPr="00BF1E2D" w:rsidRDefault="00BF1E2D" w:rsidP="00BF1E2D">
      <w:pPr>
        <w:spacing w:after="0" w:line="240" w:lineRule="auto"/>
        <w:jc w:val="both"/>
        <w:rPr>
          <w:rFonts w:eastAsia="Times New Roman" w:cstheme="minorHAnsi"/>
          <w:sz w:val="12"/>
          <w:szCs w:val="12"/>
        </w:rPr>
      </w:pPr>
    </w:p>
    <w:p w14:paraId="071DD3FA"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If the p</w:t>
      </w:r>
      <w:r w:rsidR="005D0511">
        <w:rPr>
          <w:rFonts w:eastAsia="Times New Roman" w:cstheme="minorHAnsi"/>
          <w:sz w:val="24"/>
          <w:szCs w:val="24"/>
        </w:rPr>
        <w:t>remises</w:t>
      </w:r>
      <w:r w:rsidRPr="00BF1E2D">
        <w:rPr>
          <w:rFonts w:eastAsia="Times New Roman" w:cstheme="minorHAnsi"/>
          <w:sz w:val="24"/>
          <w:szCs w:val="24"/>
        </w:rPr>
        <w:t xml:space="preserve"> has an area for staff breaks and meal preparation, this area must have a sink with hot and cold running water that is separate to the sink for hand hygiene practices.</w:t>
      </w:r>
    </w:p>
    <w:p w14:paraId="1E59D738" w14:textId="77777777" w:rsidR="00BF1E2D" w:rsidRPr="00BF1E2D" w:rsidRDefault="00BF1E2D" w:rsidP="00BF1E2D">
      <w:pPr>
        <w:spacing w:after="0" w:line="240" w:lineRule="auto"/>
        <w:jc w:val="both"/>
        <w:rPr>
          <w:rFonts w:eastAsia="Times New Roman" w:cstheme="minorHAnsi"/>
          <w:sz w:val="12"/>
          <w:szCs w:val="12"/>
        </w:rPr>
      </w:pPr>
    </w:p>
    <w:p w14:paraId="77A23810"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Where the p</w:t>
      </w:r>
      <w:r w:rsidR="005D0511">
        <w:rPr>
          <w:rFonts w:eastAsia="Times New Roman" w:cstheme="minorHAnsi"/>
          <w:sz w:val="24"/>
          <w:szCs w:val="24"/>
        </w:rPr>
        <w:t>remises</w:t>
      </w:r>
      <w:r w:rsidR="00D715C2">
        <w:rPr>
          <w:rFonts w:eastAsia="Times New Roman" w:cstheme="minorHAnsi"/>
          <w:sz w:val="24"/>
          <w:szCs w:val="24"/>
        </w:rPr>
        <w:t xml:space="preserve"> compounds </w:t>
      </w:r>
      <w:r w:rsidRPr="00BF1E2D">
        <w:rPr>
          <w:rFonts w:eastAsia="Times New Roman" w:cstheme="minorHAnsi"/>
          <w:sz w:val="24"/>
          <w:szCs w:val="24"/>
        </w:rPr>
        <w:t xml:space="preserve">medicines onsite, it must have a separate sink for the cleaning of medicines preparation equipment. </w:t>
      </w:r>
    </w:p>
    <w:p w14:paraId="254DAAE9" w14:textId="77777777" w:rsidR="00BF1E2D" w:rsidRPr="00BF1E2D" w:rsidRDefault="00BF1E2D" w:rsidP="00BF1E2D">
      <w:pPr>
        <w:spacing w:after="0" w:line="240" w:lineRule="auto"/>
        <w:jc w:val="both"/>
        <w:rPr>
          <w:rFonts w:eastAsia="Times New Roman" w:cstheme="minorHAnsi"/>
          <w:i/>
          <w:sz w:val="24"/>
          <w:szCs w:val="24"/>
        </w:rPr>
      </w:pPr>
      <w:r w:rsidRPr="00BF1E2D">
        <w:rPr>
          <w:rFonts w:eastAsia="Times New Roman" w:cstheme="minorHAnsi"/>
          <w:i/>
          <w:sz w:val="24"/>
          <w:szCs w:val="24"/>
        </w:rPr>
        <w:t>Note: A double bowl sink, with one bowl restricted for cleaning of meal preparation equipment and the other for cleaning of medicines preparation equipment is considered acceptable providing the two bowls have separate draining areas, separate water sources and separate drainage points (including s-bends).</w:t>
      </w:r>
    </w:p>
    <w:p w14:paraId="2FA2721B" w14:textId="77777777" w:rsidR="00BF1E2D" w:rsidRPr="00BF1E2D" w:rsidRDefault="00BF1E2D" w:rsidP="00BF1E2D">
      <w:pPr>
        <w:spacing w:after="0" w:line="240" w:lineRule="auto"/>
        <w:jc w:val="both"/>
        <w:rPr>
          <w:rFonts w:eastAsia="Times New Roman" w:cstheme="minorHAnsi"/>
          <w:sz w:val="12"/>
          <w:szCs w:val="12"/>
        </w:rPr>
      </w:pPr>
    </w:p>
    <w:p w14:paraId="060037E6" w14:textId="77777777" w:rsidR="00BF1E2D" w:rsidRPr="00BF1E2D" w:rsidRDefault="00BF1E2D" w:rsidP="00BF1E2D">
      <w:pPr>
        <w:spacing w:after="0" w:line="240" w:lineRule="auto"/>
        <w:ind w:hanging="11"/>
        <w:contextualSpacing/>
        <w:jc w:val="both"/>
        <w:rPr>
          <w:rFonts w:eastAsia="Times New Roman" w:cstheme="minorHAnsi"/>
          <w:sz w:val="24"/>
          <w:szCs w:val="24"/>
        </w:rPr>
      </w:pPr>
      <w:r w:rsidRPr="00BF1E2D">
        <w:rPr>
          <w:rFonts w:eastAsia="Times New Roman" w:cstheme="minorHAnsi"/>
          <w:sz w:val="24"/>
          <w:szCs w:val="24"/>
        </w:rPr>
        <w:t>P</w:t>
      </w:r>
      <w:r w:rsidR="00D715C2">
        <w:rPr>
          <w:rFonts w:eastAsia="Times New Roman" w:cstheme="minorHAnsi"/>
          <w:sz w:val="24"/>
          <w:szCs w:val="24"/>
        </w:rPr>
        <w:t>rofessional services premises</w:t>
      </w:r>
      <w:r w:rsidRPr="00BF1E2D">
        <w:rPr>
          <w:rFonts w:eastAsia="Times New Roman" w:cstheme="minorHAnsi"/>
          <w:sz w:val="24"/>
          <w:szCs w:val="24"/>
        </w:rPr>
        <w:t xml:space="preserve"> must have access to a cleaner’s sink, floor waste or other similar facility connected to drainage to dispose of mop water and other liquid waste.  Sinks used for the maintenance of floor cleaning equipment must be separate from those used for hand washing, food and medicines preparation.</w:t>
      </w:r>
    </w:p>
    <w:p w14:paraId="516D2DF9" w14:textId="77777777" w:rsidR="00BF1E2D" w:rsidRPr="00BF1E2D" w:rsidRDefault="00BF1E2D" w:rsidP="00BF1E2D">
      <w:pPr>
        <w:spacing w:after="0" w:line="240" w:lineRule="auto"/>
        <w:jc w:val="both"/>
        <w:rPr>
          <w:rFonts w:eastAsia="Times New Roman" w:cstheme="minorHAnsi"/>
          <w:b/>
          <w:sz w:val="28"/>
          <w:szCs w:val="24"/>
        </w:rPr>
      </w:pPr>
    </w:p>
    <w:p w14:paraId="648984DE" w14:textId="77777777" w:rsidR="00BF1E2D" w:rsidRPr="00BF1E2D" w:rsidRDefault="00BF1E2D" w:rsidP="00DE2891">
      <w:pPr>
        <w:numPr>
          <w:ilvl w:val="0"/>
          <w:numId w:val="7"/>
        </w:numPr>
        <w:spacing w:before="120" w:after="0" w:line="240" w:lineRule="auto"/>
        <w:ind w:left="567" w:hanging="567"/>
        <w:contextualSpacing/>
        <w:jc w:val="both"/>
        <w:rPr>
          <w:rFonts w:eastAsia="Times New Roman" w:cstheme="minorHAnsi"/>
          <w:b/>
          <w:sz w:val="24"/>
          <w:szCs w:val="24"/>
        </w:rPr>
      </w:pPr>
      <w:r w:rsidRPr="00BF1E2D">
        <w:rPr>
          <w:rFonts w:eastAsia="Times New Roman" w:cstheme="minorHAnsi"/>
          <w:b/>
          <w:sz w:val="28"/>
          <w:szCs w:val="24"/>
        </w:rPr>
        <w:t xml:space="preserve"> HYGIENE AND PEST CONTROL</w:t>
      </w:r>
    </w:p>
    <w:p w14:paraId="0ABB2992" w14:textId="77777777" w:rsidR="00BF1E2D" w:rsidRPr="00C02ECF" w:rsidRDefault="00BF1E2D" w:rsidP="00BF1E2D">
      <w:pPr>
        <w:spacing w:after="0" w:line="240" w:lineRule="auto"/>
        <w:jc w:val="both"/>
        <w:rPr>
          <w:rFonts w:eastAsia="Times New Roman" w:cstheme="minorHAnsi"/>
          <w:b/>
          <w:sz w:val="10"/>
          <w:szCs w:val="10"/>
        </w:rPr>
      </w:pPr>
    </w:p>
    <w:p w14:paraId="49366F40"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The building must be constructed in a manner to minimise the ingress of debris.  Buildings and fixtures must be kept clean, tidy and well maintained.</w:t>
      </w:r>
    </w:p>
    <w:p w14:paraId="4856C058" w14:textId="77777777" w:rsidR="00BF1E2D" w:rsidRPr="00BF1E2D" w:rsidRDefault="00BF1E2D" w:rsidP="00BF1E2D">
      <w:pPr>
        <w:spacing w:after="0" w:line="240" w:lineRule="auto"/>
        <w:jc w:val="both"/>
        <w:rPr>
          <w:rFonts w:eastAsia="Times New Roman" w:cstheme="minorHAnsi"/>
          <w:sz w:val="12"/>
          <w:szCs w:val="12"/>
        </w:rPr>
      </w:pPr>
    </w:p>
    <w:p w14:paraId="431DBE7E"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All cleaning equipment must be maintained to support hygiene and infection control.</w:t>
      </w:r>
    </w:p>
    <w:p w14:paraId="6721CF66" w14:textId="77777777" w:rsidR="00BF1E2D" w:rsidRPr="00BF1E2D" w:rsidRDefault="00BF1E2D" w:rsidP="00BF1E2D">
      <w:pPr>
        <w:spacing w:after="0" w:line="240" w:lineRule="auto"/>
        <w:jc w:val="both"/>
        <w:rPr>
          <w:rFonts w:eastAsia="Times New Roman" w:cstheme="minorHAnsi"/>
          <w:sz w:val="12"/>
          <w:szCs w:val="12"/>
        </w:rPr>
      </w:pPr>
    </w:p>
    <w:p w14:paraId="171E5DEA"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 xml:space="preserve">The building must be constructed and maintained to minimise entry of rodents, vermin, birds and pests.  Animals including pets are not permitted in the pharmacy, with the exception of guide dogs and other assistance animals. </w:t>
      </w:r>
    </w:p>
    <w:p w14:paraId="03059608" w14:textId="77777777" w:rsidR="003607E0" w:rsidRPr="00BF1E2D" w:rsidRDefault="003607E0" w:rsidP="00BF1E2D">
      <w:pPr>
        <w:spacing w:after="0" w:line="240" w:lineRule="auto"/>
        <w:jc w:val="both"/>
        <w:rPr>
          <w:rFonts w:eastAsia="Times New Roman" w:cstheme="minorHAnsi"/>
          <w:sz w:val="28"/>
          <w:szCs w:val="28"/>
        </w:rPr>
      </w:pPr>
    </w:p>
    <w:p w14:paraId="085950FB" w14:textId="77777777" w:rsidR="00BF1E2D" w:rsidRPr="00BF1E2D" w:rsidRDefault="00BF1E2D" w:rsidP="00DE2891">
      <w:pPr>
        <w:numPr>
          <w:ilvl w:val="0"/>
          <w:numId w:val="7"/>
        </w:numPr>
        <w:spacing w:before="120" w:after="0" w:line="240" w:lineRule="auto"/>
        <w:ind w:left="567" w:hanging="567"/>
        <w:contextualSpacing/>
        <w:jc w:val="both"/>
        <w:rPr>
          <w:rFonts w:eastAsia="Times New Roman" w:cstheme="minorHAnsi"/>
          <w:sz w:val="24"/>
        </w:rPr>
      </w:pPr>
      <w:r w:rsidRPr="00BF1E2D">
        <w:rPr>
          <w:rFonts w:eastAsia="Times New Roman" w:cstheme="minorHAnsi"/>
          <w:b/>
          <w:sz w:val="28"/>
          <w:szCs w:val="24"/>
        </w:rPr>
        <w:t xml:space="preserve"> STOREROOMS </w:t>
      </w:r>
    </w:p>
    <w:p w14:paraId="658456C5" w14:textId="77777777" w:rsidR="00BF1E2D" w:rsidRPr="00C02ECF" w:rsidRDefault="00BF1E2D" w:rsidP="00BF1E2D">
      <w:pPr>
        <w:spacing w:after="0" w:line="240" w:lineRule="auto"/>
        <w:ind w:left="720"/>
        <w:contextualSpacing/>
        <w:jc w:val="both"/>
        <w:rPr>
          <w:rFonts w:eastAsia="Times New Roman" w:cstheme="minorHAnsi"/>
          <w:sz w:val="10"/>
          <w:szCs w:val="10"/>
        </w:rPr>
      </w:pPr>
    </w:p>
    <w:p w14:paraId="2101AD22" w14:textId="77777777" w:rsidR="00BF1E2D" w:rsidRPr="00BF1E2D" w:rsidRDefault="00BF1E2D" w:rsidP="00B03880">
      <w:pPr>
        <w:spacing w:after="120" w:line="240" w:lineRule="auto"/>
        <w:jc w:val="both"/>
        <w:rPr>
          <w:rFonts w:eastAsia="Times New Roman" w:cstheme="minorHAnsi"/>
          <w:sz w:val="24"/>
        </w:rPr>
      </w:pPr>
      <w:r w:rsidRPr="00BF1E2D">
        <w:rPr>
          <w:rFonts w:eastAsia="Times New Roman" w:cstheme="minorHAnsi"/>
          <w:sz w:val="24"/>
        </w:rPr>
        <w:t>All storerooms must meet the same security, access, supervision</w:t>
      </w:r>
      <w:r w:rsidR="001C1DD4">
        <w:rPr>
          <w:rFonts w:eastAsia="Times New Roman" w:cstheme="minorHAnsi"/>
          <w:sz w:val="24"/>
        </w:rPr>
        <w:t xml:space="preserve"> </w:t>
      </w:r>
      <w:r w:rsidRPr="00BF1E2D">
        <w:rPr>
          <w:rFonts w:eastAsia="Times New Roman" w:cstheme="minorHAnsi"/>
          <w:sz w:val="24"/>
        </w:rPr>
        <w:t>and temperature control standards as the p</w:t>
      </w:r>
      <w:r w:rsidR="00D715C2">
        <w:rPr>
          <w:rFonts w:eastAsia="Times New Roman" w:cstheme="minorHAnsi"/>
          <w:sz w:val="24"/>
        </w:rPr>
        <w:t>rofessional services premises</w:t>
      </w:r>
      <w:r w:rsidRPr="00BF1E2D">
        <w:rPr>
          <w:rFonts w:eastAsia="Times New Roman" w:cstheme="minorHAnsi"/>
          <w:sz w:val="24"/>
        </w:rPr>
        <w:t>.</w:t>
      </w:r>
    </w:p>
    <w:p w14:paraId="585BB948" w14:textId="77777777" w:rsidR="00BF1E2D" w:rsidRPr="00BF1E2D" w:rsidRDefault="00BF1E2D" w:rsidP="00B03880">
      <w:pPr>
        <w:spacing w:before="120" w:after="0" w:line="240" w:lineRule="auto"/>
        <w:jc w:val="both"/>
        <w:rPr>
          <w:rFonts w:eastAsia="Times New Roman" w:cstheme="minorHAnsi"/>
          <w:sz w:val="24"/>
        </w:rPr>
      </w:pPr>
      <w:r w:rsidRPr="00BF1E2D">
        <w:rPr>
          <w:rFonts w:eastAsia="Times New Roman" w:cstheme="minorHAnsi"/>
          <w:sz w:val="24"/>
        </w:rPr>
        <w:t>Storerooms containing scheduled medicines in a location separate to the p</w:t>
      </w:r>
      <w:r w:rsidR="00D715C2">
        <w:rPr>
          <w:rFonts w:eastAsia="Times New Roman" w:cstheme="minorHAnsi"/>
          <w:sz w:val="24"/>
        </w:rPr>
        <w:t>remises</w:t>
      </w:r>
      <w:r w:rsidRPr="00BF1E2D">
        <w:rPr>
          <w:rFonts w:eastAsia="Times New Roman" w:cstheme="minorHAnsi"/>
          <w:sz w:val="24"/>
        </w:rPr>
        <w:t xml:space="preserve"> must be approved by the Committee and will only be considered in exceptional circumstances.</w:t>
      </w:r>
    </w:p>
    <w:p w14:paraId="51DFE761" w14:textId="77777777" w:rsidR="00BF1E2D" w:rsidRPr="00BF1E2D" w:rsidRDefault="00BF1E2D" w:rsidP="00B03880">
      <w:pPr>
        <w:spacing w:after="0" w:line="240" w:lineRule="auto"/>
        <w:jc w:val="both"/>
        <w:rPr>
          <w:rFonts w:eastAsia="Times New Roman" w:cstheme="minorHAnsi"/>
          <w:sz w:val="24"/>
          <w:szCs w:val="24"/>
        </w:rPr>
      </w:pPr>
    </w:p>
    <w:p w14:paraId="15BC677B" w14:textId="77777777" w:rsidR="0056559A" w:rsidRDefault="0056559A" w:rsidP="00DE2891">
      <w:pPr>
        <w:numPr>
          <w:ilvl w:val="0"/>
          <w:numId w:val="7"/>
        </w:numPr>
        <w:spacing w:before="120" w:after="0" w:line="240" w:lineRule="auto"/>
        <w:ind w:left="567" w:hanging="567"/>
        <w:contextualSpacing/>
        <w:jc w:val="both"/>
        <w:rPr>
          <w:rFonts w:eastAsia="Times New Roman" w:cstheme="minorHAnsi"/>
          <w:b/>
          <w:sz w:val="28"/>
          <w:szCs w:val="24"/>
        </w:rPr>
      </w:pPr>
      <w:r>
        <w:rPr>
          <w:rFonts w:eastAsia="Times New Roman" w:cstheme="minorHAnsi"/>
          <w:b/>
          <w:sz w:val="28"/>
          <w:szCs w:val="24"/>
        </w:rPr>
        <w:t>REFERENCES</w:t>
      </w:r>
    </w:p>
    <w:p w14:paraId="77DA9B18" w14:textId="77777777" w:rsidR="0056559A" w:rsidRPr="00C02ECF" w:rsidRDefault="0056559A" w:rsidP="0056559A">
      <w:pPr>
        <w:spacing w:after="0" w:line="240" w:lineRule="auto"/>
        <w:rPr>
          <w:sz w:val="10"/>
          <w:szCs w:val="10"/>
          <w:lang w:eastAsia="en-AU"/>
        </w:rPr>
      </w:pPr>
    </w:p>
    <w:p w14:paraId="187CD784" w14:textId="77777777" w:rsidR="0056559A" w:rsidRPr="007135FE" w:rsidRDefault="0056559A" w:rsidP="0056559A">
      <w:pPr>
        <w:spacing w:after="0" w:line="240" w:lineRule="auto"/>
        <w:rPr>
          <w:u w:val="single"/>
          <w:lang w:eastAsia="en-AU"/>
        </w:rPr>
      </w:pPr>
      <w:r>
        <w:rPr>
          <w:lang w:eastAsia="en-AU"/>
        </w:rPr>
        <w:t xml:space="preserve">The professional services premises must have access to all references described in the        </w:t>
      </w:r>
      <w:r w:rsidRPr="007135FE">
        <w:rPr>
          <w:u w:val="single"/>
          <w:lang w:eastAsia="en-AU"/>
        </w:rPr>
        <w:t>Mandatory References Standard.</w:t>
      </w:r>
    </w:p>
    <w:p w14:paraId="086496BB" w14:textId="77777777" w:rsidR="0056559A" w:rsidRPr="0056559A" w:rsidRDefault="0056559A" w:rsidP="0056559A">
      <w:pPr>
        <w:spacing w:before="120" w:after="0" w:line="240" w:lineRule="auto"/>
        <w:contextualSpacing/>
        <w:jc w:val="both"/>
        <w:rPr>
          <w:rFonts w:eastAsia="Times New Roman" w:cstheme="minorHAnsi"/>
          <w:b/>
          <w:sz w:val="28"/>
          <w:szCs w:val="24"/>
        </w:rPr>
      </w:pPr>
    </w:p>
    <w:p w14:paraId="15F74B1E" w14:textId="77777777" w:rsidR="00BF1E2D" w:rsidRPr="00BF1E2D" w:rsidRDefault="00BF1E2D" w:rsidP="00DE2891">
      <w:pPr>
        <w:numPr>
          <w:ilvl w:val="0"/>
          <w:numId w:val="7"/>
        </w:numPr>
        <w:spacing w:before="120" w:after="0" w:line="240" w:lineRule="auto"/>
        <w:ind w:left="567" w:hanging="567"/>
        <w:contextualSpacing/>
        <w:jc w:val="both"/>
        <w:rPr>
          <w:rFonts w:eastAsia="Times New Roman" w:cstheme="minorHAnsi"/>
          <w:b/>
          <w:sz w:val="28"/>
          <w:szCs w:val="24"/>
        </w:rPr>
      </w:pPr>
      <w:r w:rsidRPr="00BF1E2D">
        <w:rPr>
          <w:rFonts w:eastAsia="Times New Roman" w:cstheme="minorHAnsi"/>
          <w:b/>
          <w:sz w:val="28"/>
          <w:szCs w:val="24"/>
        </w:rPr>
        <w:t>ACKNOWLEDGEMENTS</w:t>
      </w:r>
    </w:p>
    <w:p w14:paraId="4B0986CE" w14:textId="77777777" w:rsidR="00BF1E2D" w:rsidRPr="00C02ECF" w:rsidRDefault="00BF1E2D" w:rsidP="00BF1E2D">
      <w:pPr>
        <w:spacing w:after="0" w:line="240" w:lineRule="auto"/>
        <w:jc w:val="both"/>
        <w:rPr>
          <w:rFonts w:eastAsia="Times New Roman" w:cstheme="minorHAnsi"/>
          <w:b/>
          <w:sz w:val="10"/>
          <w:szCs w:val="10"/>
        </w:rPr>
      </w:pPr>
    </w:p>
    <w:p w14:paraId="47855C8F" w14:textId="77777777" w:rsidR="00BF1E2D" w:rsidRPr="00BF1E2D" w:rsidRDefault="00BF1E2D" w:rsidP="00BF1E2D">
      <w:pPr>
        <w:spacing w:after="0" w:line="240" w:lineRule="auto"/>
        <w:jc w:val="both"/>
        <w:rPr>
          <w:rFonts w:eastAsia="Times New Roman" w:cstheme="minorHAnsi"/>
          <w:sz w:val="24"/>
          <w:szCs w:val="24"/>
        </w:rPr>
      </w:pPr>
      <w:r w:rsidRPr="00BF1E2D">
        <w:rPr>
          <w:rFonts w:eastAsia="Times New Roman" w:cstheme="minorHAnsi"/>
          <w:sz w:val="24"/>
          <w:szCs w:val="24"/>
        </w:rPr>
        <w:t>This standard was developed with reference to:</w:t>
      </w:r>
    </w:p>
    <w:p w14:paraId="02FB1F02" w14:textId="77777777" w:rsidR="000F568A" w:rsidRDefault="00BF1E2D" w:rsidP="00BF1E2D">
      <w:pPr>
        <w:numPr>
          <w:ilvl w:val="0"/>
          <w:numId w:val="4"/>
        </w:numPr>
        <w:spacing w:before="120" w:after="0" w:line="240" w:lineRule="auto"/>
        <w:ind w:left="425" w:hanging="425"/>
        <w:contextualSpacing/>
        <w:jc w:val="both"/>
        <w:rPr>
          <w:rFonts w:eastAsia="Times New Roman" w:cstheme="minorHAnsi"/>
          <w:sz w:val="24"/>
          <w:szCs w:val="24"/>
        </w:rPr>
      </w:pPr>
      <w:r w:rsidRPr="00BF1E2D">
        <w:rPr>
          <w:rFonts w:eastAsia="Times New Roman" w:cstheme="minorHAnsi"/>
          <w:sz w:val="24"/>
          <w:szCs w:val="24"/>
        </w:rPr>
        <w:t>The Guide, Pharmacy Council of New South Wales</w:t>
      </w:r>
    </w:p>
    <w:p w14:paraId="19BFD136" w14:textId="1478B0D8" w:rsidR="000F568A" w:rsidRDefault="00EB71DF" w:rsidP="000F568A">
      <w:pPr>
        <w:spacing w:before="120" w:after="0" w:line="240" w:lineRule="auto"/>
        <w:ind w:left="425"/>
        <w:contextualSpacing/>
        <w:jc w:val="both"/>
        <w:rPr>
          <w:rFonts w:eastAsia="Times New Roman" w:cstheme="minorHAnsi"/>
          <w:sz w:val="24"/>
          <w:szCs w:val="24"/>
        </w:rPr>
      </w:pPr>
      <w:hyperlink r:id="rId8" w:history="1">
        <w:r w:rsidR="000F568A">
          <w:rPr>
            <w:rStyle w:val="Hyperlink"/>
          </w:rPr>
          <w:t>Pharmacy Board of New South Wales The Guide (nsw.gov.au)</w:t>
        </w:r>
      </w:hyperlink>
    </w:p>
    <w:p w14:paraId="4F510C77" w14:textId="16E14BD3" w:rsidR="00BF1E2D" w:rsidRDefault="001C1DD4" w:rsidP="00BF1E2D">
      <w:pPr>
        <w:numPr>
          <w:ilvl w:val="0"/>
          <w:numId w:val="4"/>
        </w:numPr>
        <w:spacing w:before="120" w:after="0" w:line="240" w:lineRule="auto"/>
        <w:ind w:left="425" w:hanging="425"/>
        <w:contextualSpacing/>
        <w:jc w:val="both"/>
        <w:rPr>
          <w:rFonts w:eastAsia="Times New Roman" w:cstheme="minorHAnsi"/>
          <w:sz w:val="24"/>
          <w:szCs w:val="24"/>
        </w:rPr>
      </w:pPr>
      <w:r>
        <w:rPr>
          <w:rFonts w:eastAsia="Times New Roman" w:cstheme="minorHAnsi"/>
          <w:sz w:val="24"/>
          <w:szCs w:val="24"/>
        </w:rPr>
        <w:t>Health Practitioner (New South Wales) Regulation</w:t>
      </w:r>
      <w:r w:rsidR="000F568A">
        <w:rPr>
          <w:rFonts w:eastAsia="Times New Roman" w:cstheme="minorHAnsi"/>
          <w:sz w:val="24"/>
          <w:szCs w:val="24"/>
        </w:rPr>
        <w:t xml:space="preserve"> 2016 – Regulation 13</w:t>
      </w:r>
    </w:p>
    <w:p w14:paraId="44A7EA7C" w14:textId="2A0CDCD4" w:rsidR="000F568A" w:rsidRPr="00BF1E2D" w:rsidRDefault="00EB71DF" w:rsidP="000F568A">
      <w:pPr>
        <w:spacing w:before="120" w:after="0" w:line="240" w:lineRule="auto"/>
        <w:ind w:left="425"/>
        <w:contextualSpacing/>
        <w:jc w:val="both"/>
        <w:rPr>
          <w:rFonts w:eastAsia="Times New Roman" w:cstheme="minorHAnsi"/>
          <w:sz w:val="24"/>
          <w:szCs w:val="24"/>
        </w:rPr>
      </w:pPr>
      <w:hyperlink r:id="rId9" w:anchor="sec.13" w:history="1">
        <w:r w:rsidR="000F568A">
          <w:rPr>
            <w:rStyle w:val="Hyperlink"/>
          </w:rPr>
          <w:t>Health Practitioner Regulation (New South Wales) Regulation 2016 - NSW Legislation</w:t>
        </w:r>
      </w:hyperlink>
    </w:p>
    <w:p w14:paraId="7358199A" w14:textId="78B13536" w:rsidR="00BF1E2D" w:rsidRDefault="00BF1E2D" w:rsidP="00BF1E2D">
      <w:pPr>
        <w:numPr>
          <w:ilvl w:val="0"/>
          <w:numId w:val="4"/>
        </w:numPr>
        <w:spacing w:before="120" w:after="0" w:line="240" w:lineRule="auto"/>
        <w:ind w:left="425" w:hanging="425"/>
        <w:contextualSpacing/>
        <w:jc w:val="both"/>
        <w:rPr>
          <w:rFonts w:eastAsia="Times New Roman" w:cstheme="minorHAnsi"/>
          <w:sz w:val="24"/>
          <w:szCs w:val="24"/>
        </w:rPr>
      </w:pPr>
      <w:r w:rsidRPr="00BF1E2D">
        <w:rPr>
          <w:rFonts w:eastAsia="Times New Roman" w:cstheme="minorHAnsi"/>
          <w:sz w:val="24"/>
          <w:szCs w:val="24"/>
        </w:rPr>
        <w:t>Australian Code of Good Wholesaling Practice of Medicines in Schedules 2, 3, 4 and 8, The Therapeutic Goods Administration</w:t>
      </w:r>
    </w:p>
    <w:p w14:paraId="41534856" w14:textId="255C110C" w:rsidR="00C83973" w:rsidRPr="00BF1E2D" w:rsidRDefault="00EB71DF" w:rsidP="00C83973">
      <w:pPr>
        <w:spacing w:before="120" w:after="0" w:line="240" w:lineRule="auto"/>
        <w:ind w:left="425"/>
        <w:contextualSpacing/>
        <w:jc w:val="both"/>
        <w:rPr>
          <w:rFonts w:eastAsia="Times New Roman" w:cstheme="minorHAnsi"/>
          <w:sz w:val="24"/>
          <w:szCs w:val="24"/>
        </w:rPr>
      </w:pPr>
      <w:hyperlink r:id="rId10" w:history="1">
        <w:r w:rsidR="00C83973">
          <w:rPr>
            <w:rStyle w:val="Hyperlink"/>
          </w:rPr>
          <w:t>Australian code of good wholesaling practice for medicines in schedules 2, 3, 4 &amp; 8 | Therapeutic Goods Administration (TGA)</w:t>
        </w:r>
      </w:hyperlink>
    </w:p>
    <w:p w14:paraId="13EBC6CC" w14:textId="67B50808" w:rsidR="00BF1E2D" w:rsidRDefault="00BF1E2D" w:rsidP="00BF1E2D">
      <w:pPr>
        <w:numPr>
          <w:ilvl w:val="0"/>
          <w:numId w:val="4"/>
        </w:numPr>
        <w:spacing w:before="120" w:after="0" w:line="240" w:lineRule="auto"/>
        <w:ind w:left="425" w:hanging="425"/>
        <w:contextualSpacing/>
        <w:jc w:val="both"/>
        <w:rPr>
          <w:rFonts w:eastAsia="Times New Roman" w:cstheme="minorHAnsi"/>
          <w:sz w:val="24"/>
          <w:szCs w:val="24"/>
        </w:rPr>
      </w:pPr>
      <w:r w:rsidRPr="00BF1E2D">
        <w:rPr>
          <w:rFonts w:eastAsia="Times New Roman" w:cstheme="minorHAnsi"/>
          <w:sz w:val="24"/>
          <w:szCs w:val="24"/>
        </w:rPr>
        <w:t>Pharmacy Board of Australia, Guidelines for Dispensing</w:t>
      </w:r>
    </w:p>
    <w:p w14:paraId="27021BEF" w14:textId="60DFF4F0" w:rsidR="00C83973" w:rsidRPr="00BF1E2D" w:rsidRDefault="00EB71DF" w:rsidP="00C83973">
      <w:pPr>
        <w:spacing w:before="120" w:after="0" w:line="240" w:lineRule="auto"/>
        <w:ind w:left="425"/>
        <w:contextualSpacing/>
        <w:jc w:val="both"/>
        <w:rPr>
          <w:rFonts w:eastAsia="Times New Roman" w:cstheme="minorHAnsi"/>
          <w:sz w:val="24"/>
          <w:szCs w:val="24"/>
        </w:rPr>
      </w:pPr>
      <w:hyperlink r:id="rId11" w:history="1">
        <w:r w:rsidR="00C83973">
          <w:rPr>
            <w:rStyle w:val="Hyperlink"/>
          </w:rPr>
          <w:t>Pharmacy Board of Australia - Codes, Guidelines and Policies</w:t>
        </w:r>
      </w:hyperlink>
    </w:p>
    <w:p w14:paraId="57364A4A" w14:textId="67027F19" w:rsidR="00BF1E2D" w:rsidRDefault="00BF1E2D" w:rsidP="00BF1E2D">
      <w:pPr>
        <w:numPr>
          <w:ilvl w:val="0"/>
          <w:numId w:val="4"/>
        </w:numPr>
        <w:spacing w:before="120" w:after="0" w:line="240" w:lineRule="auto"/>
        <w:ind w:left="425" w:hanging="425"/>
        <w:contextualSpacing/>
        <w:jc w:val="both"/>
        <w:rPr>
          <w:rFonts w:eastAsia="Times New Roman" w:cstheme="minorHAnsi"/>
          <w:sz w:val="24"/>
          <w:szCs w:val="24"/>
        </w:rPr>
      </w:pPr>
      <w:r w:rsidRPr="00BF1E2D">
        <w:rPr>
          <w:rFonts w:eastAsia="Times New Roman" w:cstheme="minorHAnsi"/>
          <w:sz w:val="24"/>
          <w:szCs w:val="24"/>
        </w:rPr>
        <w:t>National Vaccine Storage Guidelines (Strive for 5); The Australia Government, Department of Health and Aging</w:t>
      </w:r>
      <w:r w:rsidR="00C83973">
        <w:rPr>
          <w:rFonts w:eastAsia="Times New Roman" w:cstheme="minorHAnsi"/>
          <w:sz w:val="24"/>
          <w:szCs w:val="24"/>
        </w:rPr>
        <w:t>.</w:t>
      </w:r>
    </w:p>
    <w:p w14:paraId="65D2DB64" w14:textId="0407F639" w:rsidR="00C83973" w:rsidRPr="00BF1E2D" w:rsidRDefault="00EB71DF" w:rsidP="00C83973">
      <w:pPr>
        <w:spacing w:before="120" w:after="0" w:line="240" w:lineRule="auto"/>
        <w:ind w:left="425"/>
        <w:contextualSpacing/>
        <w:jc w:val="both"/>
        <w:rPr>
          <w:rFonts w:eastAsia="Times New Roman" w:cstheme="minorHAnsi"/>
          <w:sz w:val="24"/>
          <w:szCs w:val="24"/>
        </w:rPr>
      </w:pPr>
      <w:hyperlink r:id="rId12" w:history="1">
        <w:r w:rsidR="00C83973">
          <w:rPr>
            <w:rStyle w:val="Hyperlink"/>
          </w:rPr>
          <w:t>National Vaccine Storage Guidelines ‘Strive for 5’ | Australian Government Department of Health and Aged Care</w:t>
        </w:r>
      </w:hyperlink>
    </w:p>
    <w:p w14:paraId="58CCCBFA" w14:textId="1250A5C8" w:rsidR="00BF1E2D" w:rsidRDefault="00BF1E2D" w:rsidP="00BF1E2D">
      <w:pPr>
        <w:numPr>
          <w:ilvl w:val="0"/>
          <w:numId w:val="4"/>
        </w:numPr>
        <w:spacing w:before="120" w:after="0" w:line="240" w:lineRule="auto"/>
        <w:ind w:left="425" w:hanging="425"/>
        <w:contextualSpacing/>
        <w:jc w:val="both"/>
        <w:rPr>
          <w:rFonts w:eastAsia="Times New Roman" w:cstheme="minorHAnsi"/>
          <w:sz w:val="24"/>
          <w:szCs w:val="24"/>
        </w:rPr>
      </w:pPr>
      <w:r w:rsidRPr="00BF1E2D">
        <w:rPr>
          <w:rFonts w:eastAsia="Times New Roman" w:cstheme="minorHAnsi"/>
          <w:sz w:val="24"/>
          <w:szCs w:val="24"/>
        </w:rPr>
        <w:t>Code of Practice for the Storage and Transport of Schedule 8 Substances, Northern Territory Department of Health.</w:t>
      </w:r>
    </w:p>
    <w:p w14:paraId="3AF4AFCA" w14:textId="4FF361DE" w:rsidR="00C83973" w:rsidRDefault="00EB71DF" w:rsidP="00C83973">
      <w:pPr>
        <w:spacing w:before="120" w:after="0" w:line="240" w:lineRule="auto"/>
        <w:ind w:left="425"/>
        <w:contextualSpacing/>
        <w:jc w:val="both"/>
      </w:pPr>
      <w:hyperlink r:id="rId13" w:history="1">
        <w:r w:rsidR="00C83973">
          <w:rPr>
            <w:rStyle w:val="Hyperlink"/>
          </w:rPr>
          <w:t>DoH Digital Library: Code of Practice Schedule 8 Substances - Medicines &amp; Poisons Control</w:t>
        </w:r>
      </w:hyperlink>
    </w:p>
    <w:p w14:paraId="46FE5E09" w14:textId="35E60E08" w:rsidR="00C83973" w:rsidRDefault="00C83973" w:rsidP="00C83973">
      <w:pPr>
        <w:spacing w:before="120" w:after="0" w:line="240" w:lineRule="auto"/>
        <w:ind w:left="425"/>
        <w:contextualSpacing/>
        <w:jc w:val="both"/>
      </w:pPr>
    </w:p>
    <w:p w14:paraId="55B51901" w14:textId="77777777" w:rsidR="00C83973" w:rsidRDefault="00C83973" w:rsidP="00C83973">
      <w:pPr>
        <w:spacing w:before="120" w:after="0" w:line="240" w:lineRule="auto"/>
        <w:ind w:left="425"/>
        <w:contextualSpacing/>
        <w:jc w:val="both"/>
        <w:rPr>
          <w:rFonts w:eastAsia="Times New Roman" w:cstheme="minorHAnsi"/>
          <w:sz w:val="24"/>
          <w:szCs w:val="24"/>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BF1E2D" w:rsidRPr="00BF1E2D" w14:paraId="4874AEF7" w14:textId="77777777" w:rsidTr="001C69E0">
        <w:trPr>
          <w:trHeight w:val="567"/>
        </w:trPr>
        <w:tc>
          <w:tcPr>
            <w:tcW w:w="9322" w:type="dxa"/>
          </w:tcPr>
          <w:p w14:paraId="567E5AF8" w14:textId="77777777" w:rsidR="00BF1E2D" w:rsidRPr="008811A7" w:rsidRDefault="00BF1E2D" w:rsidP="00BF1E2D">
            <w:pPr>
              <w:numPr>
                <w:ilvl w:val="0"/>
                <w:numId w:val="7"/>
              </w:numPr>
              <w:contextualSpacing/>
              <w:jc w:val="both"/>
              <w:rPr>
                <w:rFonts w:asciiTheme="minorHAnsi" w:hAnsiTheme="minorHAnsi"/>
                <w:b/>
                <w:sz w:val="24"/>
                <w:szCs w:val="24"/>
              </w:rPr>
            </w:pPr>
            <w:r w:rsidRPr="00BF1E2D">
              <w:rPr>
                <w:b/>
                <w:sz w:val="28"/>
                <w:szCs w:val="24"/>
              </w:rPr>
              <w:t xml:space="preserve">  </w:t>
            </w:r>
            <w:r w:rsidRPr="008811A7">
              <w:rPr>
                <w:rFonts w:asciiTheme="minorHAnsi" w:hAnsiTheme="minorHAnsi"/>
                <w:b/>
                <w:sz w:val="28"/>
                <w:szCs w:val="24"/>
              </w:rPr>
              <w:t>Disclaimer</w:t>
            </w:r>
          </w:p>
        </w:tc>
      </w:tr>
      <w:tr w:rsidR="00BF1E2D" w:rsidRPr="00BF1E2D" w14:paraId="3C8560B2" w14:textId="77777777" w:rsidTr="001C69E0">
        <w:trPr>
          <w:trHeight w:val="495"/>
        </w:trPr>
        <w:tc>
          <w:tcPr>
            <w:tcW w:w="9322" w:type="dxa"/>
          </w:tcPr>
          <w:p w14:paraId="3F690F86" w14:textId="77777777" w:rsidR="00BF1E2D" w:rsidRPr="008811A7" w:rsidRDefault="00BF1E2D" w:rsidP="00BF1E2D">
            <w:pPr>
              <w:spacing w:after="0"/>
              <w:jc w:val="both"/>
              <w:rPr>
                <w:rFonts w:asciiTheme="minorHAnsi" w:hAnsiTheme="minorHAnsi"/>
                <w:sz w:val="24"/>
                <w:szCs w:val="24"/>
              </w:rPr>
            </w:pPr>
            <w:r w:rsidRPr="008811A7">
              <w:rPr>
                <w:rFonts w:asciiTheme="minorHAnsi" w:hAnsiTheme="minorHAnsi"/>
                <w:sz w:val="24"/>
                <w:szCs w:val="24"/>
              </w:rPr>
              <w:t>In case of any conflict or discrepancy between this document and legislation, the legislation prevails.</w:t>
            </w:r>
          </w:p>
        </w:tc>
      </w:tr>
    </w:tbl>
    <w:p w14:paraId="63DB5E69" w14:textId="77777777" w:rsidR="0067595E" w:rsidRDefault="0067595E" w:rsidP="0067595E">
      <w:pPr>
        <w:spacing w:after="0"/>
        <w:rPr>
          <w:rFonts w:cstheme="minorHAnsi"/>
        </w:rPr>
      </w:pPr>
      <w:r>
        <w:rPr>
          <w:rFonts w:cstheme="minorHAnsi"/>
        </w:rPr>
        <w:br w:type="page"/>
      </w:r>
    </w:p>
    <w:p w14:paraId="674A04F7" w14:textId="46726759" w:rsidR="00F120F2" w:rsidRPr="004D0658" w:rsidRDefault="00F120F2" w:rsidP="00B03880">
      <w:pPr>
        <w:pStyle w:val="NormalWeb"/>
        <w:jc w:val="both"/>
        <w:rPr>
          <w:rFonts w:asciiTheme="minorHAnsi" w:hAnsiTheme="minorHAnsi"/>
          <w:b/>
          <w:color w:val="000000"/>
        </w:rPr>
      </w:pPr>
      <w:r w:rsidRPr="004D0658">
        <w:rPr>
          <w:rFonts w:asciiTheme="minorHAnsi" w:hAnsiTheme="minorHAnsi"/>
          <w:b/>
          <w:color w:val="000000"/>
        </w:rPr>
        <w:lastRenderedPageBreak/>
        <w:t>APPENDIX A</w:t>
      </w:r>
      <w:r w:rsidR="004D0658" w:rsidRPr="004D0658">
        <w:rPr>
          <w:rFonts w:asciiTheme="minorHAnsi" w:hAnsiTheme="minorHAnsi"/>
          <w:b/>
          <w:color w:val="000000"/>
        </w:rPr>
        <w:t>:</w:t>
      </w:r>
      <w:r w:rsidRPr="004D0658">
        <w:rPr>
          <w:rFonts w:asciiTheme="minorHAnsi" w:hAnsiTheme="minorHAnsi"/>
          <w:b/>
          <w:color w:val="000000"/>
        </w:rPr>
        <w:t xml:space="preserve"> DETERMINATION OF RISK FOR PHARMACY PREMISES.</w:t>
      </w:r>
    </w:p>
    <w:p w14:paraId="1DAD667A" w14:textId="1302A9D7" w:rsidR="00F120F2" w:rsidRPr="00F120F2" w:rsidRDefault="00F120F2" w:rsidP="00B03880">
      <w:pPr>
        <w:pStyle w:val="NormalWeb"/>
        <w:jc w:val="both"/>
        <w:rPr>
          <w:rFonts w:asciiTheme="minorHAnsi" w:hAnsiTheme="minorHAnsi"/>
          <w:color w:val="000000"/>
        </w:rPr>
      </w:pPr>
      <w:r w:rsidRPr="00F120F2">
        <w:rPr>
          <w:rFonts w:asciiTheme="minorHAnsi" w:hAnsiTheme="minorHAnsi"/>
          <w:color w:val="000000"/>
        </w:rPr>
        <w:t xml:space="preserve">All pharmacy premises in the Northern Territory are administered by the Pharmacy Premises </w:t>
      </w:r>
      <w:r w:rsidR="004D0658" w:rsidRPr="00F120F2">
        <w:rPr>
          <w:rFonts w:asciiTheme="minorHAnsi" w:hAnsiTheme="minorHAnsi"/>
          <w:color w:val="000000"/>
        </w:rPr>
        <w:t>Committee, which</w:t>
      </w:r>
      <w:r w:rsidRPr="00F120F2">
        <w:rPr>
          <w:rFonts w:asciiTheme="minorHAnsi" w:hAnsiTheme="minorHAnsi"/>
          <w:color w:val="000000"/>
        </w:rPr>
        <w:t xml:space="preserve"> must ensure compliance with the Health Practitioners Act 2004. The Committee has determined all pharmacies are to be categorised in to </w:t>
      </w:r>
      <w:r w:rsidR="004D0658">
        <w:rPr>
          <w:rFonts w:asciiTheme="minorHAnsi" w:hAnsiTheme="minorHAnsi"/>
          <w:color w:val="000000"/>
        </w:rPr>
        <w:t>three</w:t>
      </w:r>
      <w:r w:rsidRPr="00F120F2">
        <w:rPr>
          <w:rFonts w:asciiTheme="minorHAnsi" w:hAnsiTheme="minorHAnsi"/>
          <w:color w:val="000000"/>
        </w:rPr>
        <w:t xml:space="preserve"> distinct risk categories. These are normal, high risk and pharmacy premises </w:t>
      </w:r>
      <w:r w:rsidR="004D0658">
        <w:rPr>
          <w:rFonts w:asciiTheme="minorHAnsi" w:hAnsiTheme="minorHAnsi"/>
          <w:color w:val="000000"/>
        </w:rPr>
        <w:t xml:space="preserve">and professional services premises </w:t>
      </w:r>
      <w:r w:rsidRPr="00F120F2">
        <w:rPr>
          <w:rFonts w:asciiTheme="minorHAnsi" w:hAnsiTheme="minorHAnsi"/>
          <w:color w:val="000000"/>
        </w:rPr>
        <w:t>undergoing desktop or remote assessment.</w:t>
      </w:r>
    </w:p>
    <w:p w14:paraId="20411BA2" w14:textId="54D39EBD" w:rsidR="00F120F2" w:rsidRPr="00F120F2" w:rsidRDefault="00F120F2" w:rsidP="00B03880">
      <w:pPr>
        <w:pStyle w:val="NormalWeb"/>
        <w:numPr>
          <w:ilvl w:val="3"/>
          <w:numId w:val="13"/>
        </w:numPr>
        <w:ind w:left="360"/>
        <w:jc w:val="both"/>
        <w:rPr>
          <w:rFonts w:asciiTheme="minorHAnsi" w:hAnsiTheme="minorHAnsi"/>
          <w:color w:val="000000"/>
        </w:rPr>
      </w:pPr>
      <w:r w:rsidRPr="00F120F2">
        <w:rPr>
          <w:rFonts w:asciiTheme="minorHAnsi" w:hAnsiTheme="minorHAnsi"/>
          <w:b/>
          <w:color w:val="000000"/>
        </w:rPr>
        <w:t>Normal Risk</w:t>
      </w:r>
      <w:r w:rsidRPr="00F120F2">
        <w:rPr>
          <w:rFonts w:asciiTheme="minorHAnsi" w:hAnsiTheme="minorHAnsi"/>
          <w:color w:val="000000"/>
        </w:rPr>
        <w:t xml:space="preserve"> pharmacies and professional services premises and pharmacies which fit into the following criteria:</w:t>
      </w:r>
    </w:p>
    <w:p w14:paraId="7CCDCA00" w14:textId="2DD80F70" w:rsidR="00F120F2" w:rsidRPr="00F120F2" w:rsidRDefault="00F120F2" w:rsidP="00B03880">
      <w:pPr>
        <w:pStyle w:val="NormalWeb"/>
        <w:numPr>
          <w:ilvl w:val="4"/>
          <w:numId w:val="13"/>
        </w:numPr>
        <w:ind w:left="927"/>
        <w:jc w:val="both"/>
        <w:rPr>
          <w:rFonts w:asciiTheme="minorHAnsi" w:hAnsiTheme="minorHAnsi"/>
          <w:color w:val="000000"/>
        </w:rPr>
      </w:pPr>
      <w:r w:rsidRPr="00F120F2">
        <w:rPr>
          <w:rFonts w:asciiTheme="minorHAnsi" w:hAnsiTheme="minorHAnsi"/>
          <w:color w:val="000000"/>
        </w:rPr>
        <w:t>attained a QCPP Certificate (or for the accompanying pharmacy); and</w:t>
      </w:r>
    </w:p>
    <w:p w14:paraId="7DCB4C05" w14:textId="2594E93E" w:rsidR="00F120F2" w:rsidRDefault="00F120F2" w:rsidP="00B03880">
      <w:pPr>
        <w:pStyle w:val="NormalWeb"/>
        <w:numPr>
          <w:ilvl w:val="4"/>
          <w:numId w:val="13"/>
        </w:numPr>
        <w:spacing w:after="0" w:afterAutospacing="0"/>
        <w:ind w:left="927"/>
        <w:jc w:val="both"/>
        <w:rPr>
          <w:rFonts w:asciiTheme="minorHAnsi" w:hAnsiTheme="minorHAnsi"/>
          <w:color w:val="000000"/>
        </w:rPr>
      </w:pPr>
      <w:r w:rsidRPr="00F120F2">
        <w:rPr>
          <w:rFonts w:asciiTheme="minorHAnsi" w:hAnsiTheme="minorHAnsi"/>
          <w:color w:val="000000"/>
        </w:rPr>
        <w:t>undertake a normal range of pharmacy products and services as deemed by the Pharmacy Premises Committee.</w:t>
      </w:r>
    </w:p>
    <w:p w14:paraId="5CC4C743" w14:textId="77777777" w:rsidR="00F120F2" w:rsidRDefault="00F120F2" w:rsidP="00B03880">
      <w:pPr>
        <w:pStyle w:val="NormalWeb"/>
        <w:spacing w:before="0" w:beforeAutospacing="0" w:after="0" w:afterAutospacing="0"/>
        <w:ind w:left="567"/>
        <w:jc w:val="both"/>
        <w:rPr>
          <w:rFonts w:asciiTheme="minorHAnsi" w:hAnsiTheme="minorHAnsi"/>
          <w:color w:val="000000"/>
        </w:rPr>
      </w:pPr>
    </w:p>
    <w:p w14:paraId="7B305CEA" w14:textId="2A9B9493" w:rsidR="00F120F2" w:rsidRPr="00F120F2" w:rsidRDefault="00F120F2" w:rsidP="00B03880">
      <w:pPr>
        <w:pStyle w:val="NormalWeb"/>
        <w:numPr>
          <w:ilvl w:val="3"/>
          <w:numId w:val="13"/>
        </w:numPr>
        <w:spacing w:before="0" w:beforeAutospacing="0"/>
        <w:ind w:left="360"/>
        <w:jc w:val="both"/>
        <w:rPr>
          <w:rFonts w:asciiTheme="minorHAnsi" w:hAnsiTheme="minorHAnsi"/>
          <w:color w:val="000000"/>
        </w:rPr>
      </w:pPr>
      <w:r w:rsidRPr="00F120F2">
        <w:rPr>
          <w:rFonts w:asciiTheme="minorHAnsi" w:hAnsiTheme="minorHAnsi"/>
          <w:b/>
          <w:color w:val="000000"/>
        </w:rPr>
        <w:t>High Risk</w:t>
      </w:r>
      <w:r w:rsidRPr="00F120F2">
        <w:rPr>
          <w:rFonts w:asciiTheme="minorHAnsi" w:hAnsiTheme="minorHAnsi"/>
          <w:color w:val="000000"/>
        </w:rPr>
        <w:t xml:space="preserve"> pharmacies and professional services premises which fit in to the following criteria:</w:t>
      </w:r>
    </w:p>
    <w:p w14:paraId="09697C04" w14:textId="0B56186D" w:rsidR="00F120F2" w:rsidRPr="00F120F2" w:rsidRDefault="00F120F2" w:rsidP="00B03880">
      <w:pPr>
        <w:pStyle w:val="NormalWeb"/>
        <w:numPr>
          <w:ilvl w:val="4"/>
          <w:numId w:val="13"/>
        </w:numPr>
        <w:ind w:left="927"/>
        <w:jc w:val="both"/>
        <w:rPr>
          <w:rFonts w:asciiTheme="minorHAnsi" w:hAnsiTheme="minorHAnsi"/>
          <w:color w:val="000000"/>
        </w:rPr>
      </w:pPr>
      <w:r w:rsidRPr="00F120F2">
        <w:rPr>
          <w:rFonts w:asciiTheme="minorHAnsi" w:hAnsiTheme="minorHAnsi"/>
          <w:color w:val="000000"/>
        </w:rPr>
        <w:t>not assessed by QCPP; and/or</w:t>
      </w:r>
    </w:p>
    <w:p w14:paraId="2EC7546F" w14:textId="00F3B46A" w:rsidR="00F120F2" w:rsidRPr="00F120F2" w:rsidRDefault="00F120F2" w:rsidP="00B03880">
      <w:pPr>
        <w:pStyle w:val="NormalWeb"/>
        <w:numPr>
          <w:ilvl w:val="4"/>
          <w:numId w:val="13"/>
        </w:numPr>
        <w:ind w:left="927"/>
        <w:jc w:val="both"/>
        <w:rPr>
          <w:rFonts w:asciiTheme="minorHAnsi" w:hAnsiTheme="minorHAnsi"/>
          <w:color w:val="000000"/>
        </w:rPr>
      </w:pPr>
      <w:r w:rsidRPr="00F120F2">
        <w:rPr>
          <w:rFonts w:asciiTheme="minorHAnsi" w:hAnsiTheme="minorHAnsi"/>
          <w:color w:val="000000"/>
        </w:rPr>
        <w:t>compounding utilising a Compounding Laboratory; and/or</w:t>
      </w:r>
    </w:p>
    <w:p w14:paraId="2FFEFBE5" w14:textId="205CFD6F" w:rsidR="00F120F2" w:rsidRPr="00F120F2" w:rsidRDefault="00F120F2" w:rsidP="00B03880">
      <w:pPr>
        <w:pStyle w:val="NormalWeb"/>
        <w:numPr>
          <w:ilvl w:val="4"/>
          <w:numId w:val="13"/>
        </w:numPr>
        <w:ind w:left="927"/>
        <w:jc w:val="both"/>
        <w:rPr>
          <w:rFonts w:asciiTheme="minorHAnsi" w:hAnsiTheme="minorHAnsi"/>
          <w:color w:val="000000"/>
        </w:rPr>
      </w:pPr>
      <w:r w:rsidRPr="00F120F2">
        <w:rPr>
          <w:rFonts w:asciiTheme="minorHAnsi" w:hAnsiTheme="minorHAnsi"/>
          <w:color w:val="000000"/>
        </w:rPr>
        <w:t>undertake activities which the Pharmacy Premises Committee determines to be high risk; and/or</w:t>
      </w:r>
    </w:p>
    <w:p w14:paraId="6412444D" w14:textId="2A734446" w:rsidR="00F120F2" w:rsidRPr="00F120F2" w:rsidRDefault="00F120F2" w:rsidP="00B03880">
      <w:pPr>
        <w:pStyle w:val="NormalWeb"/>
        <w:numPr>
          <w:ilvl w:val="4"/>
          <w:numId w:val="13"/>
        </w:numPr>
        <w:ind w:left="927"/>
        <w:jc w:val="both"/>
        <w:rPr>
          <w:rFonts w:asciiTheme="minorHAnsi" w:hAnsiTheme="minorHAnsi"/>
          <w:color w:val="000000"/>
        </w:rPr>
      </w:pPr>
      <w:r w:rsidRPr="00F120F2">
        <w:rPr>
          <w:rFonts w:asciiTheme="minorHAnsi" w:hAnsiTheme="minorHAnsi"/>
          <w:color w:val="000000"/>
        </w:rPr>
        <w:t>have been the subject of a substantiated complaint; and/or</w:t>
      </w:r>
    </w:p>
    <w:p w14:paraId="2BD31C16" w14:textId="7F8EE657" w:rsidR="00F120F2" w:rsidRDefault="00F120F2" w:rsidP="00B03880">
      <w:pPr>
        <w:pStyle w:val="NormalWeb"/>
        <w:numPr>
          <w:ilvl w:val="4"/>
          <w:numId w:val="13"/>
        </w:numPr>
        <w:spacing w:after="0" w:afterAutospacing="0"/>
        <w:ind w:left="927"/>
        <w:jc w:val="both"/>
        <w:rPr>
          <w:rFonts w:asciiTheme="minorHAnsi" w:hAnsiTheme="minorHAnsi"/>
          <w:color w:val="000000"/>
        </w:rPr>
      </w:pPr>
      <w:r w:rsidRPr="00F120F2">
        <w:rPr>
          <w:rFonts w:asciiTheme="minorHAnsi" w:hAnsiTheme="minorHAnsi"/>
          <w:color w:val="000000"/>
        </w:rPr>
        <w:t>found to have significant non-compliance during a routine inspection.</w:t>
      </w:r>
    </w:p>
    <w:p w14:paraId="2827A73F" w14:textId="77777777" w:rsidR="00F120F2" w:rsidRPr="00F120F2" w:rsidRDefault="00F120F2" w:rsidP="00B03880">
      <w:pPr>
        <w:pStyle w:val="NormalWeb"/>
        <w:spacing w:before="0" w:beforeAutospacing="0" w:after="0" w:afterAutospacing="0"/>
        <w:ind w:left="567"/>
        <w:jc w:val="both"/>
        <w:rPr>
          <w:rFonts w:asciiTheme="minorHAnsi" w:hAnsiTheme="minorHAnsi"/>
          <w:color w:val="000000"/>
        </w:rPr>
      </w:pPr>
    </w:p>
    <w:p w14:paraId="5CE930DC" w14:textId="2EB793AB" w:rsidR="00F120F2" w:rsidRPr="00B03880" w:rsidRDefault="00F120F2" w:rsidP="00B03880">
      <w:pPr>
        <w:pStyle w:val="NormalWeb"/>
        <w:numPr>
          <w:ilvl w:val="3"/>
          <w:numId w:val="13"/>
        </w:numPr>
        <w:spacing w:before="0" w:beforeAutospacing="0"/>
        <w:ind w:left="360"/>
        <w:jc w:val="both"/>
        <w:rPr>
          <w:rFonts w:asciiTheme="minorHAnsi" w:hAnsiTheme="minorHAnsi"/>
        </w:rPr>
      </w:pPr>
      <w:r w:rsidRPr="00B03880">
        <w:rPr>
          <w:rFonts w:asciiTheme="minorHAnsi" w:hAnsiTheme="minorHAnsi"/>
          <w:b/>
        </w:rPr>
        <w:t>Pharmacy premises undergoing desktop / remote assessment</w:t>
      </w:r>
      <w:r w:rsidRPr="00B03880">
        <w:rPr>
          <w:rFonts w:asciiTheme="minorHAnsi" w:hAnsiTheme="minorHAnsi"/>
        </w:rPr>
        <w:t>:</w:t>
      </w:r>
    </w:p>
    <w:p w14:paraId="790462F3" w14:textId="0F6EA300" w:rsidR="00F120F2" w:rsidRPr="00B03880" w:rsidRDefault="00F120F2" w:rsidP="00B03880">
      <w:pPr>
        <w:pStyle w:val="NormalWeb"/>
        <w:numPr>
          <w:ilvl w:val="4"/>
          <w:numId w:val="13"/>
        </w:numPr>
        <w:ind w:left="927"/>
        <w:jc w:val="both"/>
        <w:rPr>
          <w:rFonts w:asciiTheme="minorHAnsi" w:hAnsiTheme="minorHAnsi"/>
        </w:rPr>
      </w:pPr>
      <w:r w:rsidRPr="00B03880">
        <w:rPr>
          <w:rFonts w:asciiTheme="minorHAnsi" w:hAnsiTheme="minorHAnsi"/>
          <w:b/>
        </w:rPr>
        <w:t>For existing premises</w:t>
      </w:r>
      <w:r w:rsidRPr="00B03880">
        <w:rPr>
          <w:rFonts w:asciiTheme="minorHAnsi" w:hAnsiTheme="minorHAnsi"/>
        </w:rPr>
        <w:t xml:space="preserve"> – the pharmacy’s certificate of compliance may be extended for up to six (6) months.</w:t>
      </w:r>
    </w:p>
    <w:p w14:paraId="38550E39" w14:textId="226FFAA0" w:rsidR="00F120F2" w:rsidRPr="00B03880" w:rsidRDefault="00F120F2" w:rsidP="00B03880">
      <w:pPr>
        <w:pStyle w:val="NormalWeb"/>
        <w:numPr>
          <w:ilvl w:val="4"/>
          <w:numId w:val="13"/>
        </w:numPr>
        <w:ind w:left="927"/>
        <w:jc w:val="both"/>
        <w:rPr>
          <w:rFonts w:asciiTheme="minorHAnsi" w:hAnsiTheme="minorHAnsi"/>
          <w:b/>
        </w:rPr>
      </w:pPr>
      <w:r w:rsidRPr="00B03880">
        <w:rPr>
          <w:rFonts w:asciiTheme="minorHAnsi" w:hAnsiTheme="minorHAnsi"/>
          <w:b/>
        </w:rPr>
        <w:t>For new, relocated and / or refurbished premises</w:t>
      </w:r>
      <w:r w:rsidRPr="00B03880">
        <w:rPr>
          <w:rFonts w:asciiTheme="minorHAnsi" w:hAnsiTheme="minorHAnsi"/>
        </w:rPr>
        <w:t xml:space="preserve"> - a new certificate of compliance may be issued for up to six (6) months</w:t>
      </w:r>
    </w:p>
    <w:p w14:paraId="320F639F" w14:textId="3CEE901F" w:rsidR="00F120F2" w:rsidRPr="00B03880" w:rsidRDefault="00F120F2" w:rsidP="00B03880">
      <w:pPr>
        <w:pStyle w:val="NormalWeb"/>
        <w:numPr>
          <w:ilvl w:val="4"/>
          <w:numId w:val="13"/>
        </w:numPr>
        <w:spacing w:after="0" w:afterAutospacing="0"/>
        <w:ind w:left="927"/>
        <w:jc w:val="both"/>
        <w:rPr>
          <w:rFonts w:asciiTheme="minorHAnsi" w:hAnsiTheme="minorHAnsi"/>
        </w:rPr>
      </w:pPr>
      <w:r w:rsidRPr="00B03880">
        <w:rPr>
          <w:rFonts w:asciiTheme="minorHAnsi" w:hAnsiTheme="minorHAnsi"/>
        </w:rPr>
        <w:t>Any extension beyond six (6) months will be at the discretion of the Pharmacy Premises Committee.</w:t>
      </w:r>
    </w:p>
    <w:p w14:paraId="136D861C" w14:textId="77777777" w:rsidR="00F120F2" w:rsidRPr="004D0658" w:rsidRDefault="00F120F2" w:rsidP="00B03880">
      <w:pPr>
        <w:pStyle w:val="NormalWeb"/>
        <w:jc w:val="both"/>
        <w:rPr>
          <w:rFonts w:asciiTheme="minorHAnsi" w:hAnsiTheme="minorHAnsi"/>
          <w:b/>
          <w:color w:val="000000"/>
        </w:rPr>
      </w:pPr>
      <w:r w:rsidRPr="00B03880">
        <w:rPr>
          <w:rFonts w:asciiTheme="minorHAnsi" w:hAnsiTheme="minorHAnsi"/>
          <w:b/>
        </w:rPr>
        <w:t xml:space="preserve">For Items one and two - Inspection </w:t>
      </w:r>
      <w:r w:rsidRPr="004D0658">
        <w:rPr>
          <w:rFonts w:asciiTheme="minorHAnsi" w:hAnsiTheme="minorHAnsi"/>
          <w:b/>
          <w:color w:val="000000"/>
        </w:rPr>
        <w:t>and issuing of a Certificate of Compliance:</w:t>
      </w:r>
    </w:p>
    <w:p w14:paraId="6BBE8E40" w14:textId="77777777" w:rsidR="00F120F2" w:rsidRPr="00F120F2" w:rsidRDefault="00F120F2" w:rsidP="00B03880">
      <w:pPr>
        <w:pStyle w:val="NormalWeb"/>
        <w:jc w:val="both"/>
        <w:rPr>
          <w:rFonts w:asciiTheme="minorHAnsi" w:hAnsiTheme="minorHAnsi"/>
          <w:color w:val="000000"/>
        </w:rPr>
      </w:pPr>
      <w:r w:rsidRPr="004D0658">
        <w:rPr>
          <w:rFonts w:asciiTheme="minorHAnsi" w:hAnsiTheme="minorHAnsi"/>
          <w:b/>
          <w:color w:val="000000"/>
        </w:rPr>
        <w:t>Normal Risk</w:t>
      </w:r>
      <w:r w:rsidRPr="00F120F2">
        <w:rPr>
          <w:rFonts w:asciiTheme="minorHAnsi" w:hAnsiTheme="minorHAnsi"/>
          <w:color w:val="000000"/>
        </w:rPr>
        <w:t xml:space="preserve"> – pharmacies will be inspected every two years and once deemed compliant, issued with a Certificate of Compliance valid for two (2) years.</w:t>
      </w:r>
    </w:p>
    <w:p w14:paraId="0864224B" w14:textId="77777777" w:rsidR="00F120F2" w:rsidRPr="00F120F2" w:rsidRDefault="00F120F2" w:rsidP="00B03880">
      <w:pPr>
        <w:pStyle w:val="NormalWeb"/>
        <w:jc w:val="both"/>
        <w:rPr>
          <w:rFonts w:asciiTheme="minorHAnsi" w:hAnsiTheme="minorHAnsi"/>
          <w:color w:val="000000"/>
        </w:rPr>
      </w:pPr>
      <w:r w:rsidRPr="004D0658">
        <w:rPr>
          <w:rFonts w:asciiTheme="minorHAnsi" w:hAnsiTheme="minorHAnsi"/>
          <w:b/>
          <w:color w:val="000000"/>
        </w:rPr>
        <w:t>High Risk</w:t>
      </w:r>
      <w:r w:rsidRPr="00F120F2">
        <w:rPr>
          <w:rFonts w:asciiTheme="minorHAnsi" w:hAnsiTheme="minorHAnsi"/>
          <w:color w:val="000000"/>
        </w:rPr>
        <w:t xml:space="preserve"> – pharmacies will be assessed once a year and if deemed compliant, issued with a Certificate of Compliance valid for one year.</w:t>
      </w:r>
    </w:p>
    <w:p w14:paraId="4583ED3E" w14:textId="77777777" w:rsidR="0018047D" w:rsidRPr="00F120F2" w:rsidRDefault="0018047D" w:rsidP="00B03880">
      <w:pPr>
        <w:tabs>
          <w:tab w:val="left" w:pos="1843"/>
        </w:tabs>
        <w:spacing w:after="0" w:line="240" w:lineRule="auto"/>
        <w:jc w:val="both"/>
        <w:rPr>
          <w:rFonts w:cstheme="minorHAnsi"/>
          <w:sz w:val="24"/>
          <w:szCs w:val="24"/>
        </w:rPr>
      </w:pPr>
    </w:p>
    <w:sectPr w:rsidR="0018047D" w:rsidRPr="00F120F2" w:rsidSect="005308EC">
      <w:headerReference w:type="default" r:id="rId14"/>
      <w:footerReference w:type="default" r:id="rId15"/>
      <w:pgSz w:w="11906" w:h="16838"/>
      <w:pgMar w:top="1135" w:right="1440" w:bottom="170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6F79" w14:textId="77777777" w:rsidR="00EB71DF" w:rsidRDefault="00EB71DF" w:rsidP="005308EC">
      <w:pPr>
        <w:spacing w:after="0" w:line="240" w:lineRule="auto"/>
      </w:pPr>
      <w:r>
        <w:separator/>
      </w:r>
    </w:p>
  </w:endnote>
  <w:endnote w:type="continuationSeparator" w:id="0">
    <w:p w14:paraId="0AB8EA86" w14:textId="77777777" w:rsidR="00EB71DF" w:rsidRDefault="00EB71DF" w:rsidP="0053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31"/>
      <w:gridCol w:w="4691"/>
    </w:tblGrid>
    <w:tr w:rsidR="0074681C" w:rsidRPr="005308EC" w14:paraId="5A2C28F6" w14:textId="77777777" w:rsidTr="0074681C">
      <w:trPr>
        <w:trHeight w:val="340"/>
      </w:trPr>
      <w:tc>
        <w:tcPr>
          <w:tcW w:w="9322" w:type="dxa"/>
          <w:gridSpan w:val="2"/>
          <w:vAlign w:val="center"/>
        </w:tcPr>
        <w:p w14:paraId="2D1D5AAB" w14:textId="1B890DF2" w:rsidR="0074681C" w:rsidRPr="00B03880" w:rsidRDefault="0074681C" w:rsidP="0074681C">
          <w:pPr>
            <w:spacing w:after="0"/>
            <w:rPr>
              <w:rFonts w:asciiTheme="minorHAnsi" w:hAnsiTheme="minorHAnsi" w:cstheme="minorHAnsi"/>
            </w:rPr>
          </w:pPr>
          <w:r w:rsidRPr="00B03880">
            <w:rPr>
              <w:rFonts w:asciiTheme="minorHAnsi" w:hAnsiTheme="minorHAnsi" w:cstheme="minorHAnsi"/>
            </w:rPr>
            <w:t>Endorsed By: Northern Territory Pharmacy Premises Committee</w:t>
          </w:r>
        </w:p>
      </w:tc>
    </w:tr>
    <w:tr w:rsidR="00C02ECF" w:rsidRPr="00C02ECF" w14:paraId="5B37BF5E" w14:textId="77777777" w:rsidTr="0074681C">
      <w:trPr>
        <w:trHeight w:val="340"/>
      </w:trPr>
      <w:tc>
        <w:tcPr>
          <w:tcW w:w="4631" w:type="dxa"/>
          <w:vAlign w:val="center"/>
        </w:tcPr>
        <w:p w14:paraId="6B2C5336" w14:textId="6A4BF63F" w:rsidR="005308EC" w:rsidRPr="00B03880" w:rsidRDefault="0074681C" w:rsidP="00B03880">
          <w:pPr>
            <w:spacing w:after="0"/>
            <w:rPr>
              <w:rFonts w:asciiTheme="minorHAnsi" w:hAnsiTheme="minorHAnsi" w:cstheme="minorHAnsi"/>
            </w:rPr>
          </w:pPr>
          <w:r w:rsidRPr="00B03880">
            <w:rPr>
              <w:rFonts w:asciiTheme="minorHAnsi" w:hAnsiTheme="minorHAnsi" w:cstheme="minorHAnsi"/>
            </w:rPr>
            <w:t xml:space="preserve">Effective Date: </w:t>
          </w:r>
          <w:r w:rsidR="00C02ECF" w:rsidRPr="00B03880">
            <w:rPr>
              <w:rFonts w:asciiTheme="minorHAnsi" w:hAnsiTheme="minorHAnsi" w:cstheme="minorHAnsi"/>
            </w:rPr>
            <w:t xml:space="preserve">1 November </w:t>
          </w:r>
          <w:r w:rsidR="00C3526C" w:rsidRPr="00B03880">
            <w:rPr>
              <w:rFonts w:asciiTheme="minorHAnsi" w:hAnsiTheme="minorHAnsi" w:cstheme="minorHAnsi"/>
            </w:rPr>
            <w:t>2022</w:t>
          </w:r>
        </w:p>
      </w:tc>
      <w:tc>
        <w:tcPr>
          <w:tcW w:w="4691" w:type="dxa"/>
          <w:vAlign w:val="center"/>
        </w:tcPr>
        <w:p w14:paraId="1E812366" w14:textId="64FDF524" w:rsidR="005308EC" w:rsidRPr="00B03880" w:rsidRDefault="005308EC" w:rsidP="00B03880">
          <w:pPr>
            <w:spacing w:after="0"/>
            <w:rPr>
              <w:rFonts w:asciiTheme="minorHAnsi" w:hAnsiTheme="minorHAnsi" w:cstheme="minorHAnsi"/>
            </w:rPr>
          </w:pPr>
          <w:r w:rsidRPr="00B03880">
            <w:rPr>
              <w:rFonts w:asciiTheme="minorHAnsi" w:hAnsiTheme="minorHAnsi" w:cstheme="minorHAnsi"/>
            </w:rPr>
            <w:t>Due For Review:</w:t>
          </w:r>
          <w:r w:rsidR="00262800" w:rsidRPr="00B03880">
            <w:rPr>
              <w:rFonts w:asciiTheme="minorHAnsi" w:hAnsiTheme="minorHAnsi" w:cstheme="minorHAnsi"/>
            </w:rPr>
            <w:t xml:space="preserve"> </w:t>
          </w:r>
          <w:r w:rsidR="00C02ECF" w:rsidRPr="00B03880">
            <w:rPr>
              <w:rFonts w:asciiTheme="minorHAnsi" w:hAnsiTheme="minorHAnsi" w:cstheme="minorHAnsi"/>
            </w:rPr>
            <w:t xml:space="preserve">1 November </w:t>
          </w:r>
          <w:r w:rsidR="00C3526C" w:rsidRPr="00B03880">
            <w:rPr>
              <w:rFonts w:asciiTheme="minorHAnsi" w:hAnsiTheme="minorHAnsi" w:cstheme="minorHAnsi"/>
            </w:rPr>
            <w:t>2025</w:t>
          </w:r>
        </w:p>
      </w:tc>
    </w:tr>
  </w:tbl>
  <w:p w14:paraId="04B565A6" w14:textId="77777777" w:rsidR="005308EC" w:rsidRPr="005308EC" w:rsidRDefault="005308EC" w:rsidP="005308EC">
    <w:pPr>
      <w:tabs>
        <w:tab w:val="center" w:pos="4513"/>
        <w:tab w:val="right" w:pos="9026"/>
      </w:tabs>
      <w:spacing w:after="0" w:line="240" w:lineRule="auto"/>
      <w:jc w:val="center"/>
      <w:rPr>
        <w:rFonts w:eastAsia="Times New Roman" w:cstheme="minorHAnsi"/>
        <w:sz w:val="20"/>
        <w:szCs w:val="20"/>
      </w:rPr>
    </w:pPr>
  </w:p>
  <w:p w14:paraId="3E094561" w14:textId="48C9F0B1" w:rsidR="005308EC" w:rsidRPr="005308EC" w:rsidRDefault="00EB71DF" w:rsidP="005308EC">
    <w:pPr>
      <w:tabs>
        <w:tab w:val="center" w:pos="4513"/>
        <w:tab w:val="right" w:pos="9026"/>
      </w:tabs>
      <w:spacing w:after="0" w:line="240" w:lineRule="auto"/>
      <w:jc w:val="center"/>
      <w:rPr>
        <w:rFonts w:eastAsia="Times New Roman" w:cstheme="minorHAnsi"/>
        <w:sz w:val="20"/>
        <w:szCs w:val="20"/>
      </w:rPr>
    </w:pPr>
    <w:sdt>
      <w:sdtPr>
        <w:rPr>
          <w:rFonts w:eastAsia="Times New Roman" w:cstheme="minorHAnsi"/>
          <w:sz w:val="20"/>
          <w:szCs w:val="20"/>
        </w:rPr>
        <w:id w:val="-1569413184"/>
        <w:docPartObj>
          <w:docPartGallery w:val="Page Numbers (Bottom of Page)"/>
          <w:docPartUnique/>
        </w:docPartObj>
      </w:sdtPr>
      <w:sdtEndPr/>
      <w:sdtContent>
        <w:sdt>
          <w:sdtPr>
            <w:rPr>
              <w:rFonts w:eastAsia="Times New Roman" w:cstheme="minorHAnsi"/>
              <w:sz w:val="20"/>
              <w:szCs w:val="20"/>
            </w:rPr>
            <w:id w:val="-536125118"/>
            <w:docPartObj>
              <w:docPartGallery w:val="Page Numbers (Top of Page)"/>
              <w:docPartUnique/>
            </w:docPartObj>
          </w:sdtPr>
          <w:sdtEndPr/>
          <w:sdtContent>
            <w:r w:rsidR="005308EC" w:rsidRPr="005308EC">
              <w:rPr>
                <w:rFonts w:ascii="Arial" w:eastAsia="Times New Roman" w:hAnsi="Arial" w:cs="Arial"/>
              </w:rPr>
              <w:t xml:space="preserve">Page </w:t>
            </w:r>
            <w:r w:rsidR="005308EC" w:rsidRPr="005308EC">
              <w:rPr>
                <w:rFonts w:ascii="Arial" w:eastAsia="Times New Roman" w:hAnsi="Arial" w:cs="Arial"/>
                <w:b/>
              </w:rPr>
              <w:fldChar w:fldCharType="begin"/>
            </w:r>
            <w:r w:rsidR="005308EC" w:rsidRPr="005308EC">
              <w:rPr>
                <w:rFonts w:ascii="Arial" w:eastAsia="Times New Roman" w:hAnsi="Arial" w:cs="Arial"/>
                <w:b/>
              </w:rPr>
              <w:instrText xml:space="preserve"> PAGE </w:instrText>
            </w:r>
            <w:r w:rsidR="005308EC" w:rsidRPr="005308EC">
              <w:rPr>
                <w:rFonts w:ascii="Arial" w:eastAsia="Times New Roman" w:hAnsi="Arial" w:cs="Arial"/>
                <w:b/>
              </w:rPr>
              <w:fldChar w:fldCharType="separate"/>
            </w:r>
            <w:r w:rsidR="00B03880">
              <w:rPr>
                <w:rFonts w:ascii="Arial" w:eastAsia="Times New Roman" w:hAnsi="Arial" w:cs="Arial"/>
                <w:b/>
                <w:noProof/>
              </w:rPr>
              <w:t>8</w:t>
            </w:r>
            <w:r w:rsidR="005308EC" w:rsidRPr="005308EC">
              <w:rPr>
                <w:rFonts w:ascii="Arial" w:eastAsia="Times New Roman" w:hAnsi="Arial" w:cs="Arial"/>
                <w:b/>
              </w:rPr>
              <w:fldChar w:fldCharType="end"/>
            </w:r>
            <w:r w:rsidR="005308EC" w:rsidRPr="005308EC">
              <w:rPr>
                <w:rFonts w:ascii="Arial" w:eastAsia="Times New Roman" w:hAnsi="Arial" w:cs="Arial"/>
              </w:rPr>
              <w:t xml:space="preserve"> of </w:t>
            </w:r>
            <w:r w:rsidR="005308EC" w:rsidRPr="005308EC">
              <w:rPr>
                <w:rFonts w:ascii="Arial" w:eastAsia="Times New Roman" w:hAnsi="Arial" w:cs="Arial"/>
                <w:b/>
              </w:rPr>
              <w:fldChar w:fldCharType="begin"/>
            </w:r>
            <w:r w:rsidR="005308EC" w:rsidRPr="005308EC">
              <w:rPr>
                <w:rFonts w:ascii="Arial" w:eastAsia="Times New Roman" w:hAnsi="Arial" w:cs="Arial"/>
                <w:b/>
              </w:rPr>
              <w:instrText xml:space="preserve"> NUMPAGES  </w:instrText>
            </w:r>
            <w:r w:rsidR="005308EC" w:rsidRPr="005308EC">
              <w:rPr>
                <w:rFonts w:ascii="Arial" w:eastAsia="Times New Roman" w:hAnsi="Arial" w:cs="Arial"/>
                <w:b/>
              </w:rPr>
              <w:fldChar w:fldCharType="separate"/>
            </w:r>
            <w:r w:rsidR="00B03880">
              <w:rPr>
                <w:rFonts w:ascii="Arial" w:eastAsia="Times New Roman" w:hAnsi="Arial" w:cs="Arial"/>
                <w:b/>
                <w:noProof/>
              </w:rPr>
              <w:t>8</w:t>
            </w:r>
            <w:r w:rsidR="005308EC" w:rsidRPr="005308EC">
              <w:rPr>
                <w:rFonts w:ascii="Arial" w:eastAsia="Times New Roman" w:hAnsi="Arial" w:cs="Arial"/>
                <w:b/>
              </w:rPr>
              <w:fldChar w:fldCharType="end"/>
            </w:r>
          </w:sdtContent>
        </w:sdt>
      </w:sdtContent>
    </w:sdt>
  </w:p>
  <w:p w14:paraId="04B77D4C" w14:textId="77777777" w:rsidR="005308EC" w:rsidRDefault="00530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A4786" w14:textId="77777777" w:rsidR="00EB71DF" w:rsidRDefault="00EB71DF" w:rsidP="005308EC">
      <w:pPr>
        <w:spacing w:after="0" w:line="240" w:lineRule="auto"/>
      </w:pPr>
      <w:r>
        <w:separator/>
      </w:r>
    </w:p>
  </w:footnote>
  <w:footnote w:type="continuationSeparator" w:id="0">
    <w:p w14:paraId="11340168" w14:textId="77777777" w:rsidR="00EB71DF" w:rsidRDefault="00EB71DF" w:rsidP="0053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2"/>
    </w:tblGrid>
    <w:tr w:rsidR="005308EC" w:rsidRPr="005308EC" w14:paraId="1A0721FC" w14:textId="77777777" w:rsidTr="0002197E">
      <w:tc>
        <w:tcPr>
          <w:tcW w:w="9322" w:type="dxa"/>
        </w:tcPr>
        <w:p w14:paraId="54ECC324" w14:textId="473D7CF2" w:rsidR="005308EC" w:rsidRPr="005308EC" w:rsidRDefault="005308EC" w:rsidP="005308EC">
          <w:pPr>
            <w:tabs>
              <w:tab w:val="left" w:pos="270"/>
              <w:tab w:val="center" w:pos="4553"/>
            </w:tabs>
            <w:spacing w:before="0" w:after="0"/>
            <w:rPr>
              <w:rFonts w:asciiTheme="minorHAnsi" w:hAnsiTheme="minorHAnsi" w:cstheme="minorHAnsi"/>
              <w:b/>
              <w:caps/>
              <w:color w:val="595959" w:themeColor="text1" w:themeTint="A6"/>
              <w:sz w:val="28"/>
              <w:szCs w:val="28"/>
            </w:rPr>
          </w:pPr>
          <w:r w:rsidRPr="005308EC">
            <w:rPr>
              <w:rFonts w:asciiTheme="minorHAnsi" w:hAnsiTheme="minorHAnsi" w:cstheme="minorHAnsi"/>
              <w:b/>
              <w:caps/>
              <w:color w:val="595959" w:themeColor="text1" w:themeTint="A6"/>
              <w:sz w:val="28"/>
              <w:szCs w:val="28"/>
            </w:rPr>
            <w:tab/>
          </w:r>
          <w:r w:rsidRPr="005308EC">
            <w:rPr>
              <w:rFonts w:asciiTheme="minorHAnsi" w:hAnsiTheme="minorHAnsi" w:cstheme="minorHAnsi"/>
              <w:b/>
              <w:caps/>
              <w:color w:val="595959" w:themeColor="text1" w:themeTint="A6"/>
              <w:sz w:val="28"/>
              <w:szCs w:val="28"/>
            </w:rPr>
            <w:tab/>
            <w:t>Pharmacy Premises Committee OF THE NORTHERN TERRITORY</w:t>
          </w:r>
        </w:p>
      </w:tc>
    </w:tr>
    <w:tr w:rsidR="005308EC" w:rsidRPr="005308EC" w14:paraId="4C30D9C8" w14:textId="77777777" w:rsidTr="0002197E">
      <w:tc>
        <w:tcPr>
          <w:tcW w:w="9322" w:type="dxa"/>
        </w:tcPr>
        <w:p w14:paraId="1EAF7539" w14:textId="3B21A795" w:rsidR="005308EC" w:rsidRPr="005308EC" w:rsidRDefault="009C30E2" w:rsidP="005308EC">
          <w:pPr>
            <w:spacing w:before="0" w:after="0"/>
            <w:jc w:val="center"/>
            <w:rPr>
              <w:rFonts w:asciiTheme="minorHAnsi" w:hAnsiTheme="minorHAnsi" w:cstheme="minorHAnsi"/>
              <w:b/>
              <w:color w:val="595959" w:themeColor="text1" w:themeTint="A6"/>
              <w:sz w:val="28"/>
              <w:szCs w:val="28"/>
            </w:rPr>
          </w:pPr>
          <w:r>
            <w:rPr>
              <w:rFonts w:asciiTheme="minorHAnsi" w:hAnsiTheme="minorHAnsi" w:cstheme="minorHAnsi"/>
              <w:b/>
              <w:color w:val="595959" w:themeColor="text1" w:themeTint="A6"/>
              <w:sz w:val="28"/>
              <w:szCs w:val="28"/>
            </w:rPr>
            <w:t xml:space="preserve">PS4 </w:t>
          </w:r>
          <w:r w:rsidR="005308EC" w:rsidRPr="005308EC">
            <w:rPr>
              <w:rFonts w:asciiTheme="minorHAnsi" w:hAnsiTheme="minorHAnsi" w:cstheme="minorHAnsi"/>
              <w:b/>
              <w:color w:val="595959" w:themeColor="text1" w:themeTint="A6"/>
              <w:sz w:val="28"/>
              <w:szCs w:val="28"/>
            </w:rPr>
            <w:t>P</w:t>
          </w:r>
          <w:r w:rsidR="005308EC">
            <w:rPr>
              <w:rFonts w:asciiTheme="minorHAnsi" w:hAnsiTheme="minorHAnsi" w:cstheme="minorHAnsi"/>
              <w:b/>
              <w:color w:val="595959" w:themeColor="text1" w:themeTint="A6"/>
              <w:sz w:val="28"/>
              <w:szCs w:val="28"/>
            </w:rPr>
            <w:t xml:space="preserve">rofessional Services </w:t>
          </w:r>
          <w:r w:rsidR="005308EC" w:rsidRPr="005308EC">
            <w:rPr>
              <w:rFonts w:asciiTheme="minorHAnsi" w:hAnsiTheme="minorHAnsi" w:cstheme="minorHAnsi"/>
              <w:b/>
              <w:color w:val="595959" w:themeColor="text1" w:themeTint="A6"/>
              <w:sz w:val="28"/>
              <w:szCs w:val="28"/>
            </w:rPr>
            <w:t>Premises Standard</w:t>
          </w:r>
        </w:p>
      </w:tc>
    </w:tr>
  </w:tbl>
  <w:p w14:paraId="091FB1D7" w14:textId="01BEDBD3" w:rsidR="005308EC" w:rsidRPr="005308EC" w:rsidRDefault="005308EC" w:rsidP="0053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C0"/>
    <w:multiLevelType w:val="hybridMultilevel"/>
    <w:tmpl w:val="3C1E98F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 w15:restartNumberingAfterBreak="0">
    <w:nsid w:val="05FA036A"/>
    <w:multiLevelType w:val="hybridMultilevel"/>
    <w:tmpl w:val="50B49BF4"/>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350CFC"/>
    <w:multiLevelType w:val="hybridMultilevel"/>
    <w:tmpl w:val="9C7E378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291729"/>
    <w:multiLevelType w:val="hybridMultilevel"/>
    <w:tmpl w:val="3E12C49C"/>
    <w:lvl w:ilvl="0" w:tplc="C19865D6">
      <w:start w:val="1"/>
      <w:numFmt w:val="decimal"/>
      <w:lvlText w:val="%1.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5BF7A0E"/>
    <w:multiLevelType w:val="hybridMultilevel"/>
    <w:tmpl w:val="4A02AB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100C9A"/>
    <w:multiLevelType w:val="hybridMultilevel"/>
    <w:tmpl w:val="67E8B6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A01939"/>
    <w:multiLevelType w:val="hybridMultilevel"/>
    <w:tmpl w:val="D51C50F6"/>
    <w:lvl w:ilvl="0" w:tplc="40403D96">
      <w:start w:val="1"/>
      <w:numFmt w:val="bullet"/>
      <w:lvlText w:val=""/>
      <w:lvlJc w:val="left"/>
      <w:pPr>
        <w:ind w:left="780" w:hanging="360"/>
      </w:pPr>
      <w:rPr>
        <w:rFonts w:ascii="Symbol" w:hAnsi="Symbol" w:hint="default"/>
        <w:sz w:val="24"/>
        <w:szCs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A70092D"/>
    <w:multiLevelType w:val="hybridMultilevel"/>
    <w:tmpl w:val="76946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105334"/>
    <w:multiLevelType w:val="hybridMultilevel"/>
    <w:tmpl w:val="68D412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44291462"/>
    <w:multiLevelType w:val="hybridMultilevel"/>
    <w:tmpl w:val="764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E602C"/>
    <w:multiLevelType w:val="multilevel"/>
    <w:tmpl w:val="CDACD06C"/>
    <w:lvl w:ilvl="0">
      <w:start w:val="1"/>
      <w:numFmt w:val="decimal"/>
      <w:pStyle w:val="Heading1"/>
      <w:lvlText w:val="%1."/>
      <w:lvlJc w:val="left"/>
      <w:pPr>
        <w:ind w:left="360" w:hanging="360"/>
      </w:pPr>
      <w:rPr>
        <w:rFonts w:hint="default"/>
        <w:b/>
        <w:color w:val="auto"/>
        <w:sz w:val="28"/>
        <w:szCs w:val="28"/>
      </w:rPr>
    </w:lvl>
    <w:lvl w:ilvl="1">
      <w:start w:val="1"/>
      <w:numFmt w:val="decimal"/>
      <w:isLgl/>
      <w:lvlText w:val="%1.%2"/>
      <w:lvlJc w:val="left"/>
      <w:pPr>
        <w:ind w:left="786"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426899"/>
    <w:multiLevelType w:val="hybridMultilevel"/>
    <w:tmpl w:val="F0AA5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F44CD1"/>
    <w:multiLevelType w:val="hybridMultilevel"/>
    <w:tmpl w:val="7402DB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11"/>
  </w:num>
  <w:num w:numId="6">
    <w:abstractNumId w:val="7"/>
  </w:num>
  <w:num w:numId="7">
    <w:abstractNumId w:val="10"/>
  </w:num>
  <w:num w:numId="8">
    <w:abstractNumId w:val="10"/>
    <w:lvlOverride w:ilvl="0">
      <w:startOverride w:val="4"/>
    </w:lvlOverride>
    <w:lvlOverride w:ilvl="1">
      <w:startOverride w:val="2"/>
    </w:lvlOverride>
  </w:num>
  <w:num w:numId="9">
    <w:abstractNumId w:val="10"/>
    <w:lvlOverride w:ilvl="0">
      <w:startOverride w:val="8"/>
    </w:lvlOverride>
    <w:lvlOverride w:ilvl="1">
      <w:startOverride w:val="5"/>
    </w:lvlOverride>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4"/>
  </w:num>
  <w:num w:numId="16">
    <w:abstractNumId w:val="1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EA"/>
    <w:rsid w:val="000410AA"/>
    <w:rsid w:val="000617F2"/>
    <w:rsid w:val="000E3CE1"/>
    <w:rsid w:val="000F568A"/>
    <w:rsid w:val="0018047D"/>
    <w:rsid w:val="00180927"/>
    <w:rsid w:val="00187629"/>
    <w:rsid w:val="001A3FA5"/>
    <w:rsid w:val="001C1DD4"/>
    <w:rsid w:val="00222F69"/>
    <w:rsid w:val="00262800"/>
    <w:rsid w:val="00262B5E"/>
    <w:rsid w:val="00263999"/>
    <w:rsid w:val="00324E34"/>
    <w:rsid w:val="003607E0"/>
    <w:rsid w:val="003736EA"/>
    <w:rsid w:val="003824C2"/>
    <w:rsid w:val="00424348"/>
    <w:rsid w:val="00465FCB"/>
    <w:rsid w:val="004D0658"/>
    <w:rsid w:val="004D374F"/>
    <w:rsid w:val="004F44E7"/>
    <w:rsid w:val="005058BB"/>
    <w:rsid w:val="00515E83"/>
    <w:rsid w:val="005308EC"/>
    <w:rsid w:val="005520A5"/>
    <w:rsid w:val="0056559A"/>
    <w:rsid w:val="005B312E"/>
    <w:rsid w:val="005D0511"/>
    <w:rsid w:val="005F4B3D"/>
    <w:rsid w:val="0062673D"/>
    <w:rsid w:val="006475DA"/>
    <w:rsid w:val="00660374"/>
    <w:rsid w:val="0067595E"/>
    <w:rsid w:val="006C6D01"/>
    <w:rsid w:val="006E5BD1"/>
    <w:rsid w:val="00700211"/>
    <w:rsid w:val="007135FE"/>
    <w:rsid w:val="0074681C"/>
    <w:rsid w:val="007C2500"/>
    <w:rsid w:val="008811A7"/>
    <w:rsid w:val="008976D2"/>
    <w:rsid w:val="008C7ED5"/>
    <w:rsid w:val="008F6FEE"/>
    <w:rsid w:val="00907875"/>
    <w:rsid w:val="009814FB"/>
    <w:rsid w:val="009963DB"/>
    <w:rsid w:val="009C30E2"/>
    <w:rsid w:val="00A9146B"/>
    <w:rsid w:val="00A93CD1"/>
    <w:rsid w:val="00AA0C8A"/>
    <w:rsid w:val="00AB4F48"/>
    <w:rsid w:val="00AF39BC"/>
    <w:rsid w:val="00B03880"/>
    <w:rsid w:val="00B274C7"/>
    <w:rsid w:val="00BB21A0"/>
    <w:rsid w:val="00BE0AF4"/>
    <w:rsid w:val="00BE4243"/>
    <w:rsid w:val="00BF1E2D"/>
    <w:rsid w:val="00C02ECF"/>
    <w:rsid w:val="00C3526C"/>
    <w:rsid w:val="00C83973"/>
    <w:rsid w:val="00CA7AAA"/>
    <w:rsid w:val="00D03535"/>
    <w:rsid w:val="00D56944"/>
    <w:rsid w:val="00D715C2"/>
    <w:rsid w:val="00DA41EA"/>
    <w:rsid w:val="00DE2891"/>
    <w:rsid w:val="00DF0A8D"/>
    <w:rsid w:val="00E7212D"/>
    <w:rsid w:val="00E81053"/>
    <w:rsid w:val="00EB3D7C"/>
    <w:rsid w:val="00EB71DF"/>
    <w:rsid w:val="00EE2834"/>
    <w:rsid w:val="00EE5C60"/>
    <w:rsid w:val="00EF5B32"/>
    <w:rsid w:val="00F120F2"/>
    <w:rsid w:val="00F15B93"/>
    <w:rsid w:val="00F6684F"/>
    <w:rsid w:val="00F7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659E"/>
  <w15:docId w15:val="{7D882027-159E-4802-8863-5B545006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BF1E2D"/>
    <w:pPr>
      <w:framePr w:hSpace="180" w:wrap="around" w:vAnchor="text" w:hAnchor="margin" w:y="172"/>
      <w:numPr>
        <w:numId w:val="7"/>
      </w:numPr>
      <w:spacing w:before="120" w:after="120" w:line="240" w:lineRule="auto"/>
      <w:ind w:left="720"/>
      <w:jc w:val="both"/>
      <w:outlineLvl w:val="0"/>
    </w:pPr>
    <w:rPr>
      <w:rFonts w:eastAsia="Times New Roman" w:cs="Times New Roman"/>
      <w:b/>
      <w:sz w:val="28"/>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EA"/>
    <w:pPr>
      <w:ind w:left="720"/>
      <w:contextualSpacing/>
    </w:pPr>
  </w:style>
  <w:style w:type="character" w:customStyle="1" w:styleId="Heading1Char">
    <w:name w:val="Heading 1 Char"/>
    <w:basedOn w:val="DefaultParagraphFont"/>
    <w:link w:val="Heading1"/>
    <w:uiPriority w:val="9"/>
    <w:rsid w:val="00BF1E2D"/>
    <w:rPr>
      <w:rFonts w:eastAsia="Times New Roman" w:cs="Times New Roman"/>
      <w:b/>
      <w:sz w:val="28"/>
      <w:szCs w:val="24"/>
      <w:lang w:eastAsia="en-AU"/>
    </w:rPr>
  </w:style>
  <w:style w:type="table" w:styleId="TableGrid">
    <w:name w:val="Table Grid"/>
    <w:basedOn w:val="TableNormal"/>
    <w:rsid w:val="00BF1E2D"/>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8EC"/>
  </w:style>
  <w:style w:type="paragraph" w:styleId="Footer">
    <w:name w:val="footer"/>
    <w:basedOn w:val="Normal"/>
    <w:link w:val="FooterChar"/>
    <w:uiPriority w:val="99"/>
    <w:unhideWhenUsed/>
    <w:rsid w:val="0053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8EC"/>
  </w:style>
  <w:style w:type="paragraph" w:styleId="BalloonText">
    <w:name w:val="Balloon Text"/>
    <w:basedOn w:val="Normal"/>
    <w:link w:val="BalloonTextChar"/>
    <w:uiPriority w:val="99"/>
    <w:semiHidden/>
    <w:unhideWhenUsed/>
    <w:rsid w:val="005F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3D"/>
    <w:rPr>
      <w:rFonts w:ascii="Tahoma" w:hAnsi="Tahoma" w:cs="Tahoma"/>
      <w:sz w:val="16"/>
      <w:szCs w:val="16"/>
    </w:rPr>
  </w:style>
  <w:style w:type="character" w:styleId="CommentReference">
    <w:name w:val="annotation reference"/>
    <w:basedOn w:val="DefaultParagraphFont"/>
    <w:uiPriority w:val="99"/>
    <w:semiHidden/>
    <w:unhideWhenUsed/>
    <w:rsid w:val="006475DA"/>
    <w:rPr>
      <w:sz w:val="16"/>
      <w:szCs w:val="16"/>
    </w:rPr>
  </w:style>
  <w:style w:type="paragraph" w:styleId="CommentText">
    <w:name w:val="annotation text"/>
    <w:basedOn w:val="Normal"/>
    <w:link w:val="CommentTextChar"/>
    <w:uiPriority w:val="99"/>
    <w:semiHidden/>
    <w:unhideWhenUsed/>
    <w:rsid w:val="006475DA"/>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475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7875"/>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7875"/>
    <w:rPr>
      <w:rFonts w:ascii="Arial" w:eastAsia="Times New Roman" w:hAnsi="Arial" w:cs="Times New Roman"/>
      <w:b/>
      <w:bCs/>
      <w:sz w:val="20"/>
      <w:szCs w:val="20"/>
    </w:rPr>
  </w:style>
  <w:style w:type="character" w:styleId="Hyperlink">
    <w:name w:val="Hyperlink"/>
    <w:basedOn w:val="DefaultParagraphFont"/>
    <w:uiPriority w:val="99"/>
    <w:semiHidden/>
    <w:unhideWhenUsed/>
    <w:rsid w:val="000F568A"/>
    <w:rPr>
      <w:color w:val="0000FF"/>
      <w:u w:val="single"/>
    </w:rPr>
  </w:style>
  <w:style w:type="paragraph" w:styleId="NormalWeb">
    <w:name w:val="Normal (Web)"/>
    <w:basedOn w:val="Normal"/>
    <w:uiPriority w:val="99"/>
    <w:semiHidden/>
    <w:unhideWhenUsed/>
    <w:rsid w:val="00F120F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6669">
      <w:bodyDiv w:val="1"/>
      <w:marLeft w:val="0"/>
      <w:marRight w:val="0"/>
      <w:marTop w:val="0"/>
      <w:marBottom w:val="0"/>
      <w:divBdr>
        <w:top w:val="none" w:sz="0" w:space="0" w:color="auto"/>
        <w:left w:val="none" w:sz="0" w:space="0" w:color="auto"/>
        <w:bottom w:val="none" w:sz="0" w:space="0" w:color="auto"/>
        <w:right w:val="none" w:sz="0" w:space="0" w:color="auto"/>
      </w:divBdr>
    </w:div>
    <w:div w:id="8231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s.pharmacycouncil.nsw.gov.au/s3fs-public/the_guide_-_annual_declaration_fee_may_2021.pdf" TargetMode="External"/><Relationship Id="rId13" Type="http://schemas.openxmlformats.org/officeDocument/2006/relationships/hyperlink" Target="https://digitallibrary.health.nt.gov.au/prodjspui/handle/10137/8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resources/publications/national-vaccine-storage-guidelines-strive-for-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acyboard.gov.au/Codes-Guidelin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ga.gov.au/resources/publication/publications/australian-code-good-wholesaling-practice-medicines-schedules-2-3-4-8" TargetMode="External"/><Relationship Id="rId4" Type="http://schemas.openxmlformats.org/officeDocument/2006/relationships/settings" Target="settings.xml"/><Relationship Id="rId9" Type="http://schemas.openxmlformats.org/officeDocument/2006/relationships/hyperlink" Target="https://legislation.nsw.gov.au/view/html/inforce/current/sl-2016-054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542-89B3-4F26-8CE5-2BE91C68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4</cp:revision>
  <cp:lastPrinted>2019-09-03T03:32:00Z</cp:lastPrinted>
  <dcterms:created xsi:type="dcterms:W3CDTF">2022-10-25T02:30:00Z</dcterms:created>
  <dcterms:modified xsi:type="dcterms:W3CDTF">2022-11-15T23:13:00Z</dcterms:modified>
</cp:coreProperties>
</file>