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A577" w14:textId="77777777" w:rsidR="00B14257" w:rsidRDefault="00B14257" w:rsidP="005B1C19">
      <w:pPr>
        <w:spacing w:after="6240"/>
      </w:pPr>
    </w:p>
    <w:p w14:paraId="7335F911" w14:textId="3BAEFF5F" w:rsidR="00570C40" w:rsidRDefault="00570C40" w:rsidP="00570C40">
      <w:pPr>
        <w:rPr>
          <w:b/>
          <w:sz w:val="28"/>
        </w:rPr>
      </w:pPr>
      <w:r>
        <w:rPr>
          <w:b/>
          <w:sz w:val="28"/>
        </w:rPr>
        <w:t>(</w:t>
      </w:r>
      <w:r w:rsidR="00D327BB">
        <w:rPr>
          <w:b/>
          <w:sz w:val="28"/>
        </w:rPr>
        <w:t xml:space="preserve">Version </w:t>
      </w:r>
      <w:r w:rsidR="00B435F4">
        <w:rPr>
          <w:b/>
          <w:sz w:val="28"/>
        </w:rPr>
        <w:t>8</w:t>
      </w:r>
      <w:r w:rsidR="00E34412">
        <w:rPr>
          <w:b/>
          <w:sz w:val="28"/>
        </w:rPr>
        <w:t>.0</w:t>
      </w:r>
      <w:r>
        <w:rPr>
          <w:b/>
          <w:sz w:val="28"/>
        </w:rPr>
        <w:t>)</w:t>
      </w:r>
    </w:p>
    <w:p w14:paraId="78A0E4D4" w14:textId="05A52544" w:rsidR="00570C40" w:rsidRDefault="00570C40" w:rsidP="00570C40">
      <w:pPr>
        <w:rPr>
          <w:b/>
          <w:sz w:val="28"/>
        </w:rPr>
      </w:pPr>
      <w:r>
        <w:rPr>
          <w:b/>
          <w:sz w:val="28"/>
        </w:rPr>
        <w:t xml:space="preserve">Approved Date: </w:t>
      </w:r>
      <w:sdt>
        <w:sdtPr>
          <w:rPr>
            <w:b/>
            <w:sz w:val="28"/>
          </w:rPr>
          <w:id w:val="1450507481"/>
          <w:placeholder>
            <w:docPart w:val="DefaultPlaceholder_-1854013438"/>
          </w:placeholder>
          <w:date w:fullDate="2022-06-07T00:00:00Z">
            <w:dateFormat w:val="d/MM/yyyy"/>
            <w:lid w:val="en-AU"/>
            <w:storeMappedDataAs w:val="dateTime"/>
            <w:calendar w:val="gregorian"/>
          </w:date>
        </w:sdtPr>
        <w:sdtEndPr/>
        <w:sdtContent>
          <w:r w:rsidR="00740D4E">
            <w:rPr>
              <w:b/>
              <w:sz w:val="28"/>
            </w:rPr>
            <w:t>7/06/2022</w:t>
          </w:r>
        </w:sdtContent>
      </w:sdt>
    </w:p>
    <w:p w14:paraId="4F778955" w14:textId="2832154E" w:rsidR="00570C40" w:rsidRDefault="00570C40" w:rsidP="00570C40">
      <w:pPr>
        <w:rPr>
          <w:b/>
          <w:sz w:val="28"/>
        </w:rPr>
      </w:pPr>
      <w:r>
        <w:rPr>
          <w:b/>
          <w:sz w:val="28"/>
        </w:rPr>
        <w:t xml:space="preserve">Revision Date: </w:t>
      </w:r>
      <w:sdt>
        <w:sdtPr>
          <w:rPr>
            <w:b/>
            <w:sz w:val="28"/>
          </w:rPr>
          <w:id w:val="-1338384436"/>
          <w:placeholder>
            <w:docPart w:val="DefaultPlaceholder_-1854013438"/>
          </w:placeholder>
          <w:date w:fullDate="2022-05-06T00:00:00Z">
            <w:dateFormat w:val="d/MM/yyyy"/>
            <w:lid w:val="en-AU"/>
            <w:storeMappedDataAs w:val="dateTime"/>
            <w:calendar w:val="gregorian"/>
          </w:date>
        </w:sdtPr>
        <w:sdtEndPr/>
        <w:sdtContent>
          <w:r w:rsidR="005A56FF">
            <w:rPr>
              <w:b/>
              <w:sz w:val="28"/>
            </w:rPr>
            <w:t>6/05/2022</w:t>
          </w:r>
        </w:sdtContent>
      </w:sdt>
    </w:p>
    <w:p w14:paraId="41CD5EAC" w14:textId="557848C3" w:rsidR="00B435F4" w:rsidRDefault="00B435F4" w:rsidP="00570C40">
      <w:pPr>
        <w:rPr>
          <w:b/>
          <w:sz w:val="28"/>
        </w:rPr>
      </w:pPr>
    </w:p>
    <w:p w14:paraId="3B85350B" w14:textId="77777777" w:rsidR="00B435F4" w:rsidRDefault="00B435F4" w:rsidP="00B435F4">
      <w:pPr>
        <w:rPr>
          <w:b/>
          <w:sz w:val="28"/>
        </w:rPr>
      </w:pPr>
      <w:r>
        <w:rPr>
          <w:b/>
          <w:sz w:val="28"/>
        </w:rPr>
        <w:t>Document Details*</w:t>
      </w:r>
    </w:p>
    <w:p w14:paraId="0050B394" w14:textId="77777777" w:rsidR="00B435F4" w:rsidRPr="00570C40" w:rsidRDefault="00B435F4" w:rsidP="00B435F4">
      <w:r w:rsidRPr="00570C40">
        <w:t xml:space="preserve">Version Control details are contained within the version history of this document and on HPRM Record Number </w:t>
      </w:r>
      <w:r w:rsidRPr="00457C2D">
        <w:t>EDOC2020/0428415</w:t>
      </w:r>
    </w:p>
    <w:p w14:paraId="3305DA4E" w14:textId="77777777" w:rsidR="00B435F4" w:rsidRPr="00570C40" w:rsidRDefault="00B435F4" w:rsidP="00B435F4">
      <w:r w:rsidRPr="00570C40">
        <w:t xml:space="preserve">The owner of this document is </w:t>
      </w:r>
      <w:r>
        <w:t>the</w:t>
      </w:r>
      <w:r w:rsidRPr="00570C40">
        <w:t xml:space="preserve"> Chair of this Committee. These Terms of Reference are to be reviewed annually or sooner if deemed necessary. </w:t>
      </w:r>
    </w:p>
    <w:p w14:paraId="0294BC41" w14:textId="4A91F08B" w:rsidR="00B435F4" w:rsidRPr="00570C40" w:rsidRDefault="00B435F4" w:rsidP="00B435F4">
      <w:r w:rsidRPr="00570C40">
        <w:t xml:space="preserve">The next review date for these Terms of Reference is </w:t>
      </w:r>
      <w:sdt>
        <w:sdtPr>
          <w:id w:val="-659465839"/>
          <w:placeholder>
            <w:docPart w:val="7A348C56DA6443ECAC740CD4715FF2A8"/>
          </w:placeholder>
          <w:date w:fullDate="2024-06-07T00:00:00Z">
            <w:dateFormat w:val="d/MM/yyyy"/>
            <w:lid w:val="en-AU"/>
            <w:storeMappedDataAs w:val="dateTime"/>
            <w:calendar w:val="gregorian"/>
          </w:date>
        </w:sdtPr>
        <w:sdtEndPr/>
        <w:sdtContent>
          <w:r w:rsidR="00740D4E">
            <w:t>7/06/2024</w:t>
          </w:r>
        </w:sdtContent>
      </w:sdt>
      <w:r>
        <w:t>.</w:t>
      </w:r>
    </w:p>
    <w:p w14:paraId="37DC6682" w14:textId="77777777" w:rsidR="00570C40" w:rsidRDefault="00570C40" w:rsidP="00570C40">
      <w:pPr>
        <w:rPr>
          <w:b/>
          <w:sz w:val="28"/>
        </w:rPr>
      </w:pPr>
      <w:bookmarkStart w:id="0" w:name="_GoBack"/>
      <w:bookmarkEnd w:id="0"/>
    </w:p>
    <w:p w14:paraId="1D5560E5" w14:textId="77777777" w:rsidR="00570C40" w:rsidRDefault="00570C40" w:rsidP="00570C40">
      <w:pPr>
        <w:rPr>
          <w:b/>
          <w:sz w:val="28"/>
        </w:rPr>
        <w:sectPr w:rsidR="00570C40"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p>
    <w:sdt>
      <w:sdtPr>
        <w:rPr>
          <w:rFonts w:ascii="Lato" w:eastAsia="Calibri" w:hAnsi="Lato"/>
          <w:color w:val="auto"/>
          <w:kern w:val="0"/>
          <w:sz w:val="22"/>
          <w:szCs w:val="22"/>
        </w:rPr>
        <w:id w:val="1012728065"/>
        <w:docPartObj>
          <w:docPartGallery w:val="Table of Contents"/>
          <w:docPartUnique/>
        </w:docPartObj>
      </w:sdtPr>
      <w:sdtEndPr>
        <w:rPr>
          <w:b/>
          <w:bCs/>
          <w:noProof/>
        </w:rPr>
      </w:sdtEndPr>
      <w:sdtContent>
        <w:p w14:paraId="7C22C06C" w14:textId="77777777" w:rsidR="00570C40" w:rsidRDefault="00570C40" w:rsidP="00353EDE">
          <w:pPr>
            <w:pStyle w:val="Heading1"/>
            <w:numPr>
              <w:ilvl w:val="0"/>
              <w:numId w:val="0"/>
            </w:numPr>
          </w:pPr>
          <w:r>
            <w:t>Table of Contents</w:t>
          </w:r>
        </w:p>
        <w:p w14:paraId="33AB34A0" w14:textId="2495E7F9" w:rsidR="00972E0B" w:rsidRDefault="00570C40">
          <w:pPr>
            <w:pStyle w:val="TOC1"/>
            <w:tabs>
              <w:tab w:val="left" w:pos="440"/>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06196258" w:history="1">
            <w:r w:rsidR="00972E0B" w:rsidRPr="004379CE">
              <w:rPr>
                <w:rStyle w:val="Hyperlink"/>
                <w:noProof/>
              </w:rPr>
              <w:t>1.</w:t>
            </w:r>
            <w:r w:rsidR="00972E0B">
              <w:rPr>
                <w:rFonts w:asciiTheme="minorHAnsi" w:eastAsiaTheme="minorEastAsia" w:hAnsiTheme="minorHAnsi" w:cstheme="minorBidi"/>
                <w:noProof/>
                <w:lang w:eastAsia="en-AU"/>
              </w:rPr>
              <w:tab/>
            </w:r>
            <w:r w:rsidR="00972E0B" w:rsidRPr="004379CE">
              <w:rPr>
                <w:rStyle w:val="Hyperlink"/>
                <w:noProof/>
              </w:rPr>
              <w:t>Introduction</w:t>
            </w:r>
            <w:r w:rsidR="00972E0B">
              <w:rPr>
                <w:noProof/>
                <w:webHidden/>
              </w:rPr>
              <w:tab/>
            </w:r>
            <w:r w:rsidR="00972E0B">
              <w:rPr>
                <w:noProof/>
                <w:webHidden/>
              </w:rPr>
              <w:fldChar w:fldCharType="begin"/>
            </w:r>
            <w:r w:rsidR="00972E0B">
              <w:rPr>
                <w:noProof/>
                <w:webHidden/>
              </w:rPr>
              <w:instrText xml:space="preserve"> PAGEREF _Toc106196258 \h </w:instrText>
            </w:r>
            <w:r w:rsidR="00972E0B">
              <w:rPr>
                <w:noProof/>
                <w:webHidden/>
              </w:rPr>
            </w:r>
            <w:r w:rsidR="00972E0B">
              <w:rPr>
                <w:noProof/>
                <w:webHidden/>
              </w:rPr>
              <w:fldChar w:fldCharType="separate"/>
            </w:r>
            <w:r w:rsidR="00972E0B">
              <w:rPr>
                <w:noProof/>
                <w:webHidden/>
              </w:rPr>
              <w:t>4</w:t>
            </w:r>
            <w:r w:rsidR="00972E0B">
              <w:rPr>
                <w:noProof/>
                <w:webHidden/>
              </w:rPr>
              <w:fldChar w:fldCharType="end"/>
            </w:r>
          </w:hyperlink>
        </w:p>
        <w:p w14:paraId="4A0EB7F7" w14:textId="3196FEB9"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59" w:history="1">
            <w:r w:rsidR="00972E0B" w:rsidRPr="004379CE">
              <w:rPr>
                <w:rStyle w:val="Hyperlink"/>
                <w:noProof/>
              </w:rPr>
              <w:t>1.1</w:t>
            </w:r>
            <w:r w:rsidR="00972E0B">
              <w:rPr>
                <w:rFonts w:asciiTheme="minorHAnsi" w:eastAsiaTheme="minorEastAsia" w:hAnsiTheme="minorHAnsi" w:cstheme="minorBidi"/>
                <w:noProof/>
                <w:lang w:eastAsia="en-AU"/>
              </w:rPr>
              <w:tab/>
            </w:r>
            <w:r w:rsidR="00972E0B" w:rsidRPr="004379CE">
              <w:rPr>
                <w:rStyle w:val="Hyperlink"/>
                <w:noProof/>
              </w:rPr>
              <w:t>Purpose</w:t>
            </w:r>
            <w:r w:rsidR="00972E0B">
              <w:rPr>
                <w:noProof/>
                <w:webHidden/>
              </w:rPr>
              <w:tab/>
            </w:r>
            <w:r w:rsidR="00972E0B">
              <w:rPr>
                <w:noProof/>
                <w:webHidden/>
              </w:rPr>
              <w:fldChar w:fldCharType="begin"/>
            </w:r>
            <w:r w:rsidR="00972E0B">
              <w:rPr>
                <w:noProof/>
                <w:webHidden/>
              </w:rPr>
              <w:instrText xml:space="preserve"> PAGEREF _Toc106196259 \h </w:instrText>
            </w:r>
            <w:r w:rsidR="00972E0B">
              <w:rPr>
                <w:noProof/>
                <w:webHidden/>
              </w:rPr>
            </w:r>
            <w:r w:rsidR="00972E0B">
              <w:rPr>
                <w:noProof/>
                <w:webHidden/>
              </w:rPr>
              <w:fldChar w:fldCharType="separate"/>
            </w:r>
            <w:r w:rsidR="00972E0B">
              <w:rPr>
                <w:noProof/>
                <w:webHidden/>
              </w:rPr>
              <w:t>4</w:t>
            </w:r>
            <w:r w:rsidR="00972E0B">
              <w:rPr>
                <w:noProof/>
                <w:webHidden/>
              </w:rPr>
              <w:fldChar w:fldCharType="end"/>
            </w:r>
          </w:hyperlink>
        </w:p>
        <w:p w14:paraId="31B45067" w14:textId="2EE2AEFC" w:rsidR="00972E0B" w:rsidRDefault="00F838E1">
          <w:pPr>
            <w:pStyle w:val="TOC1"/>
            <w:tabs>
              <w:tab w:val="left" w:pos="440"/>
              <w:tab w:val="right" w:leader="dot" w:pos="10308"/>
            </w:tabs>
            <w:rPr>
              <w:rFonts w:asciiTheme="minorHAnsi" w:eastAsiaTheme="minorEastAsia" w:hAnsiTheme="minorHAnsi" w:cstheme="minorBidi"/>
              <w:noProof/>
              <w:lang w:eastAsia="en-AU"/>
            </w:rPr>
          </w:pPr>
          <w:hyperlink w:anchor="_Toc106196260" w:history="1">
            <w:r w:rsidR="00972E0B" w:rsidRPr="004379CE">
              <w:rPr>
                <w:rStyle w:val="Hyperlink"/>
                <w:noProof/>
              </w:rPr>
              <w:t>2.</w:t>
            </w:r>
            <w:r w:rsidR="00972E0B">
              <w:rPr>
                <w:rFonts w:asciiTheme="minorHAnsi" w:eastAsiaTheme="minorEastAsia" w:hAnsiTheme="minorHAnsi" w:cstheme="minorBidi"/>
                <w:noProof/>
                <w:lang w:eastAsia="en-AU"/>
              </w:rPr>
              <w:tab/>
            </w:r>
            <w:r w:rsidR="00972E0B" w:rsidRPr="004379CE">
              <w:rPr>
                <w:rStyle w:val="Hyperlink"/>
                <w:noProof/>
              </w:rPr>
              <w:t>Principles</w:t>
            </w:r>
            <w:r w:rsidR="00972E0B">
              <w:rPr>
                <w:noProof/>
                <w:webHidden/>
              </w:rPr>
              <w:tab/>
            </w:r>
            <w:r w:rsidR="00972E0B">
              <w:rPr>
                <w:noProof/>
                <w:webHidden/>
              </w:rPr>
              <w:fldChar w:fldCharType="begin"/>
            </w:r>
            <w:r w:rsidR="00972E0B">
              <w:rPr>
                <w:noProof/>
                <w:webHidden/>
              </w:rPr>
              <w:instrText xml:space="preserve"> PAGEREF _Toc106196260 \h </w:instrText>
            </w:r>
            <w:r w:rsidR="00972E0B">
              <w:rPr>
                <w:noProof/>
                <w:webHidden/>
              </w:rPr>
            </w:r>
            <w:r w:rsidR="00972E0B">
              <w:rPr>
                <w:noProof/>
                <w:webHidden/>
              </w:rPr>
              <w:fldChar w:fldCharType="separate"/>
            </w:r>
            <w:r w:rsidR="00972E0B">
              <w:rPr>
                <w:noProof/>
                <w:webHidden/>
              </w:rPr>
              <w:t>4</w:t>
            </w:r>
            <w:r w:rsidR="00972E0B">
              <w:rPr>
                <w:noProof/>
                <w:webHidden/>
              </w:rPr>
              <w:fldChar w:fldCharType="end"/>
            </w:r>
          </w:hyperlink>
        </w:p>
        <w:p w14:paraId="6D7D58CE" w14:textId="018BAE58" w:rsidR="00972E0B" w:rsidRDefault="00F838E1">
          <w:pPr>
            <w:pStyle w:val="TOC1"/>
            <w:tabs>
              <w:tab w:val="left" w:pos="440"/>
              <w:tab w:val="right" w:leader="dot" w:pos="10308"/>
            </w:tabs>
            <w:rPr>
              <w:rFonts w:asciiTheme="minorHAnsi" w:eastAsiaTheme="minorEastAsia" w:hAnsiTheme="minorHAnsi" w:cstheme="minorBidi"/>
              <w:noProof/>
              <w:lang w:eastAsia="en-AU"/>
            </w:rPr>
          </w:pPr>
          <w:hyperlink w:anchor="_Toc106196261" w:history="1">
            <w:r w:rsidR="00972E0B" w:rsidRPr="004379CE">
              <w:rPr>
                <w:rStyle w:val="Hyperlink"/>
                <w:noProof/>
              </w:rPr>
              <w:t>3.</w:t>
            </w:r>
            <w:r w:rsidR="00972E0B">
              <w:rPr>
                <w:rFonts w:asciiTheme="minorHAnsi" w:eastAsiaTheme="minorEastAsia" w:hAnsiTheme="minorHAnsi" w:cstheme="minorBidi"/>
                <w:noProof/>
                <w:lang w:eastAsia="en-AU"/>
              </w:rPr>
              <w:tab/>
            </w:r>
            <w:r w:rsidR="00972E0B" w:rsidRPr="004379CE">
              <w:rPr>
                <w:rStyle w:val="Hyperlink"/>
                <w:noProof/>
              </w:rPr>
              <w:t>Governance</w:t>
            </w:r>
            <w:r w:rsidR="00972E0B">
              <w:rPr>
                <w:noProof/>
                <w:webHidden/>
              </w:rPr>
              <w:tab/>
            </w:r>
            <w:r w:rsidR="00972E0B">
              <w:rPr>
                <w:noProof/>
                <w:webHidden/>
              </w:rPr>
              <w:fldChar w:fldCharType="begin"/>
            </w:r>
            <w:r w:rsidR="00972E0B">
              <w:rPr>
                <w:noProof/>
                <w:webHidden/>
              </w:rPr>
              <w:instrText xml:space="preserve"> PAGEREF _Toc106196261 \h </w:instrText>
            </w:r>
            <w:r w:rsidR="00972E0B">
              <w:rPr>
                <w:noProof/>
                <w:webHidden/>
              </w:rPr>
            </w:r>
            <w:r w:rsidR="00972E0B">
              <w:rPr>
                <w:noProof/>
                <w:webHidden/>
              </w:rPr>
              <w:fldChar w:fldCharType="separate"/>
            </w:r>
            <w:r w:rsidR="00972E0B">
              <w:rPr>
                <w:noProof/>
                <w:webHidden/>
              </w:rPr>
              <w:t>5</w:t>
            </w:r>
            <w:r w:rsidR="00972E0B">
              <w:rPr>
                <w:noProof/>
                <w:webHidden/>
              </w:rPr>
              <w:fldChar w:fldCharType="end"/>
            </w:r>
          </w:hyperlink>
        </w:p>
        <w:p w14:paraId="7CC4CB6C" w14:textId="30D80771"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62" w:history="1">
            <w:r w:rsidR="00972E0B" w:rsidRPr="004379CE">
              <w:rPr>
                <w:rStyle w:val="Hyperlink"/>
                <w:noProof/>
              </w:rPr>
              <w:t>3.1</w:t>
            </w:r>
            <w:r w:rsidR="00972E0B">
              <w:rPr>
                <w:rFonts w:asciiTheme="minorHAnsi" w:eastAsiaTheme="minorEastAsia" w:hAnsiTheme="minorHAnsi" w:cstheme="minorBidi"/>
                <w:noProof/>
                <w:lang w:eastAsia="en-AU"/>
              </w:rPr>
              <w:tab/>
            </w:r>
            <w:r w:rsidR="00972E0B" w:rsidRPr="004379CE">
              <w:rPr>
                <w:rStyle w:val="Hyperlink"/>
                <w:noProof/>
              </w:rPr>
              <w:t>Role of the NT Clinical Senate</w:t>
            </w:r>
            <w:r w:rsidR="00972E0B">
              <w:rPr>
                <w:noProof/>
                <w:webHidden/>
              </w:rPr>
              <w:tab/>
            </w:r>
            <w:r w:rsidR="00972E0B">
              <w:rPr>
                <w:noProof/>
                <w:webHidden/>
              </w:rPr>
              <w:fldChar w:fldCharType="begin"/>
            </w:r>
            <w:r w:rsidR="00972E0B">
              <w:rPr>
                <w:noProof/>
                <w:webHidden/>
              </w:rPr>
              <w:instrText xml:space="preserve"> PAGEREF _Toc106196262 \h </w:instrText>
            </w:r>
            <w:r w:rsidR="00972E0B">
              <w:rPr>
                <w:noProof/>
                <w:webHidden/>
              </w:rPr>
            </w:r>
            <w:r w:rsidR="00972E0B">
              <w:rPr>
                <w:noProof/>
                <w:webHidden/>
              </w:rPr>
              <w:fldChar w:fldCharType="separate"/>
            </w:r>
            <w:r w:rsidR="00972E0B">
              <w:rPr>
                <w:noProof/>
                <w:webHidden/>
              </w:rPr>
              <w:t>5</w:t>
            </w:r>
            <w:r w:rsidR="00972E0B">
              <w:rPr>
                <w:noProof/>
                <w:webHidden/>
              </w:rPr>
              <w:fldChar w:fldCharType="end"/>
            </w:r>
          </w:hyperlink>
        </w:p>
        <w:p w14:paraId="24BCE05A" w14:textId="0AD5FE06" w:rsidR="00972E0B" w:rsidRDefault="00F838E1">
          <w:pPr>
            <w:pStyle w:val="TOC1"/>
            <w:tabs>
              <w:tab w:val="left" w:pos="440"/>
              <w:tab w:val="right" w:leader="dot" w:pos="10308"/>
            </w:tabs>
            <w:rPr>
              <w:rFonts w:asciiTheme="minorHAnsi" w:eastAsiaTheme="minorEastAsia" w:hAnsiTheme="minorHAnsi" w:cstheme="minorBidi"/>
              <w:noProof/>
              <w:lang w:eastAsia="en-AU"/>
            </w:rPr>
          </w:pPr>
          <w:hyperlink w:anchor="_Toc106196263" w:history="1">
            <w:r w:rsidR="00972E0B" w:rsidRPr="004379CE">
              <w:rPr>
                <w:rStyle w:val="Hyperlink"/>
                <w:noProof/>
              </w:rPr>
              <w:t>4.</w:t>
            </w:r>
            <w:r w:rsidR="00972E0B">
              <w:rPr>
                <w:rFonts w:asciiTheme="minorHAnsi" w:eastAsiaTheme="minorEastAsia" w:hAnsiTheme="minorHAnsi" w:cstheme="minorBidi"/>
                <w:noProof/>
                <w:lang w:eastAsia="en-AU"/>
              </w:rPr>
              <w:tab/>
            </w:r>
            <w:r w:rsidR="00972E0B" w:rsidRPr="004379CE">
              <w:rPr>
                <w:rStyle w:val="Hyperlink"/>
                <w:noProof/>
              </w:rPr>
              <w:t>Membership</w:t>
            </w:r>
            <w:r w:rsidR="00972E0B">
              <w:rPr>
                <w:noProof/>
                <w:webHidden/>
              </w:rPr>
              <w:tab/>
            </w:r>
            <w:r w:rsidR="00972E0B">
              <w:rPr>
                <w:noProof/>
                <w:webHidden/>
              </w:rPr>
              <w:fldChar w:fldCharType="begin"/>
            </w:r>
            <w:r w:rsidR="00972E0B">
              <w:rPr>
                <w:noProof/>
                <w:webHidden/>
              </w:rPr>
              <w:instrText xml:space="preserve"> PAGEREF _Toc106196263 \h </w:instrText>
            </w:r>
            <w:r w:rsidR="00972E0B">
              <w:rPr>
                <w:noProof/>
                <w:webHidden/>
              </w:rPr>
            </w:r>
            <w:r w:rsidR="00972E0B">
              <w:rPr>
                <w:noProof/>
                <w:webHidden/>
              </w:rPr>
              <w:fldChar w:fldCharType="separate"/>
            </w:r>
            <w:r w:rsidR="00972E0B">
              <w:rPr>
                <w:noProof/>
                <w:webHidden/>
              </w:rPr>
              <w:t>5</w:t>
            </w:r>
            <w:r w:rsidR="00972E0B">
              <w:rPr>
                <w:noProof/>
                <w:webHidden/>
              </w:rPr>
              <w:fldChar w:fldCharType="end"/>
            </w:r>
          </w:hyperlink>
        </w:p>
        <w:p w14:paraId="7CF7A8BE" w14:textId="0CBFFD04"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64" w:history="1">
            <w:r w:rsidR="00972E0B" w:rsidRPr="004379CE">
              <w:rPr>
                <w:rStyle w:val="Hyperlink"/>
                <w:noProof/>
              </w:rPr>
              <w:t>4.1</w:t>
            </w:r>
            <w:r w:rsidR="00972E0B">
              <w:rPr>
                <w:rFonts w:asciiTheme="minorHAnsi" w:eastAsiaTheme="minorEastAsia" w:hAnsiTheme="minorHAnsi" w:cstheme="minorBidi"/>
                <w:noProof/>
                <w:lang w:eastAsia="en-AU"/>
              </w:rPr>
              <w:tab/>
            </w:r>
            <w:r w:rsidR="00972E0B" w:rsidRPr="004379CE">
              <w:rPr>
                <w:rStyle w:val="Hyperlink"/>
                <w:noProof/>
              </w:rPr>
              <w:t>Chair</w:t>
            </w:r>
            <w:r w:rsidR="00972E0B">
              <w:rPr>
                <w:noProof/>
                <w:webHidden/>
              </w:rPr>
              <w:tab/>
            </w:r>
            <w:r w:rsidR="00972E0B">
              <w:rPr>
                <w:noProof/>
                <w:webHidden/>
              </w:rPr>
              <w:fldChar w:fldCharType="begin"/>
            </w:r>
            <w:r w:rsidR="00972E0B">
              <w:rPr>
                <w:noProof/>
                <w:webHidden/>
              </w:rPr>
              <w:instrText xml:space="preserve"> PAGEREF _Toc106196264 \h </w:instrText>
            </w:r>
            <w:r w:rsidR="00972E0B">
              <w:rPr>
                <w:noProof/>
                <w:webHidden/>
              </w:rPr>
            </w:r>
            <w:r w:rsidR="00972E0B">
              <w:rPr>
                <w:noProof/>
                <w:webHidden/>
              </w:rPr>
              <w:fldChar w:fldCharType="separate"/>
            </w:r>
            <w:r w:rsidR="00972E0B">
              <w:rPr>
                <w:noProof/>
                <w:webHidden/>
              </w:rPr>
              <w:t>7</w:t>
            </w:r>
            <w:r w:rsidR="00972E0B">
              <w:rPr>
                <w:noProof/>
                <w:webHidden/>
              </w:rPr>
              <w:fldChar w:fldCharType="end"/>
            </w:r>
          </w:hyperlink>
        </w:p>
        <w:p w14:paraId="44118F3D" w14:textId="5AF692E9"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65" w:history="1">
            <w:r w:rsidR="00972E0B" w:rsidRPr="004379CE">
              <w:rPr>
                <w:rStyle w:val="Hyperlink"/>
                <w:noProof/>
              </w:rPr>
              <w:t>4.2</w:t>
            </w:r>
            <w:r w:rsidR="00972E0B">
              <w:rPr>
                <w:rFonts w:asciiTheme="minorHAnsi" w:eastAsiaTheme="minorEastAsia" w:hAnsiTheme="minorHAnsi" w:cstheme="minorBidi"/>
                <w:noProof/>
                <w:lang w:eastAsia="en-AU"/>
              </w:rPr>
              <w:tab/>
            </w:r>
            <w:r w:rsidR="00972E0B" w:rsidRPr="004379CE">
              <w:rPr>
                <w:rStyle w:val="Hyperlink"/>
                <w:noProof/>
              </w:rPr>
              <w:t>Deputy Chair</w:t>
            </w:r>
            <w:r w:rsidR="00972E0B">
              <w:rPr>
                <w:noProof/>
                <w:webHidden/>
              </w:rPr>
              <w:tab/>
            </w:r>
            <w:r w:rsidR="00972E0B">
              <w:rPr>
                <w:noProof/>
                <w:webHidden/>
              </w:rPr>
              <w:fldChar w:fldCharType="begin"/>
            </w:r>
            <w:r w:rsidR="00972E0B">
              <w:rPr>
                <w:noProof/>
                <w:webHidden/>
              </w:rPr>
              <w:instrText xml:space="preserve"> PAGEREF _Toc106196265 \h </w:instrText>
            </w:r>
            <w:r w:rsidR="00972E0B">
              <w:rPr>
                <w:noProof/>
                <w:webHidden/>
              </w:rPr>
            </w:r>
            <w:r w:rsidR="00972E0B">
              <w:rPr>
                <w:noProof/>
                <w:webHidden/>
              </w:rPr>
              <w:fldChar w:fldCharType="separate"/>
            </w:r>
            <w:r w:rsidR="00972E0B">
              <w:rPr>
                <w:noProof/>
                <w:webHidden/>
              </w:rPr>
              <w:t>7</w:t>
            </w:r>
            <w:r w:rsidR="00972E0B">
              <w:rPr>
                <w:noProof/>
                <w:webHidden/>
              </w:rPr>
              <w:fldChar w:fldCharType="end"/>
            </w:r>
          </w:hyperlink>
        </w:p>
        <w:p w14:paraId="70B0E7B5" w14:textId="5C6165FA"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66" w:history="1">
            <w:r w:rsidR="00972E0B" w:rsidRPr="004379CE">
              <w:rPr>
                <w:rStyle w:val="Hyperlink"/>
                <w:noProof/>
              </w:rPr>
              <w:t>4.3</w:t>
            </w:r>
            <w:r w:rsidR="00972E0B">
              <w:rPr>
                <w:rFonts w:asciiTheme="minorHAnsi" w:eastAsiaTheme="minorEastAsia" w:hAnsiTheme="minorHAnsi" w:cstheme="minorBidi"/>
                <w:noProof/>
                <w:lang w:eastAsia="en-AU"/>
              </w:rPr>
              <w:tab/>
            </w:r>
            <w:r w:rsidR="00972E0B" w:rsidRPr="004379CE">
              <w:rPr>
                <w:rStyle w:val="Hyperlink"/>
                <w:noProof/>
              </w:rPr>
              <w:t>Member skills/qualifications</w:t>
            </w:r>
            <w:r w:rsidR="00972E0B">
              <w:rPr>
                <w:noProof/>
                <w:webHidden/>
              </w:rPr>
              <w:tab/>
            </w:r>
            <w:r w:rsidR="00972E0B">
              <w:rPr>
                <w:noProof/>
                <w:webHidden/>
              </w:rPr>
              <w:fldChar w:fldCharType="begin"/>
            </w:r>
            <w:r w:rsidR="00972E0B">
              <w:rPr>
                <w:noProof/>
                <w:webHidden/>
              </w:rPr>
              <w:instrText xml:space="preserve"> PAGEREF _Toc106196266 \h </w:instrText>
            </w:r>
            <w:r w:rsidR="00972E0B">
              <w:rPr>
                <w:noProof/>
                <w:webHidden/>
              </w:rPr>
            </w:r>
            <w:r w:rsidR="00972E0B">
              <w:rPr>
                <w:noProof/>
                <w:webHidden/>
              </w:rPr>
              <w:fldChar w:fldCharType="separate"/>
            </w:r>
            <w:r w:rsidR="00972E0B">
              <w:rPr>
                <w:noProof/>
                <w:webHidden/>
              </w:rPr>
              <w:t>7</w:t>
            </w:r>
            <w:r w:rsidR="00972E0B">
              <w:rPr>
                <w:noProof/>
                <w:webHidden/>
              </w:rPr>
              <w:fldChar w:fldCharType="end"/>
            </w:r>
          </w:hyperlink>
        </w:p>
        <w:p w14:paraId="4DB5EEB5" w14:textId="573E57E7"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67" w:history="1">
            <w:r w:rsidR="00972E0B" w:rsidRPr="004379CE">
              <w:rPr>
                <w:rStyle w:val="Hyperlink"/>
                <w:noProof/>
              </w:rPr>
              <w:t>4.4</w:t>
            </w:r>
            <w:r w:rsidR="00972E0B">
              <w:rPr>
                <w:rFonts w:asciiTheme="minorHAnsi" w:eastAsiaTheme="minorEastAsia" w:hAnsiTheme="minorHAnsi" w:cstheme="minorBidi"/>
                <w:noProof/>
                <w:lang w:eastAsia="en-AU"/>
              </w:rPr>
              <w:tab/>
            </w:r>
            <w:r w:rsidR="00972E0B" w:rsidRPr="004379CE">
              <w:rPr>
                <w:rStyle w:val="Hyperlink"/>
                <w:noProof/>
              </w:rPr>
              <w:t>Responsibilities of Members</w:t>
            </w:r>
            <w:r w:rsidR="00972E0B">
              <w:rPr>
                <w:noProof/>
                <w:webHidden/>
              </w:rPr>
              <w:tab/>
            </w:r>
            <w:r w:rsidR="00972E0B">
              <w:rPr>
                <w:noProof/>
                <w:webHidden/>
              </w:rPr>
              <w:fldChar w:fldCharType="begin"/>
            </w:r>
            <w:r w:rsidR="00972E0B">
              <w:rPr>
                <w:noProof/>
                <w:webHidden/>
              </w:rPr>
              <w:instrText xml:space="preserve"> PAGEREF _Toc106196267 \h </w:instrText>
            </w:r>
            <w:r w:rsidR="00972E0B">
              <w:rPr>
                <w:noProof/>
                <w:webHidden/>
              </w:rPr>
            </w:r>
            <w:r w:rsidR="00972E0B">
              <w:rPr>
                <w:noProof/>
                <w:webHidden/>
              </w:rPr>
              <w:fldChar w:fldCharType="separate"/>
            </w:r>
            <w:r w:rsidR="00972E0B">
              <w:rPr>
                <w:noProof/>
                <w:webHidden/>
              </w:rPr>
              <w:t>8</w:t>
            </w:r>
            <w:r w:rsidR="00972E0B">
              <w:rPr>
                <w:noProof/>
                <w:webHidden/>
              </w:rPr>
              <w:fldChar w:fldCharType="end"/>
            </w:r>
          </w:hyperlink>
        </w:p>
        <w:p w14:paraId="57937B95" w14:textId="2FF2704A"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68" w:history="1">
            <w:r w:rsidR="00972E0B" w:rsidRPr="004379CE">
              <w:rPr>
                <w:rStyle w:val="Hyperlink"/>
                <w:noProof/>
              </w:rPr>
              <w:t>4.5</w:t>
            </w:r>
            <w:r w:rsidR="00972E0B">
              <w:rPr>
                <w:rFonts w:asciiTheme="minorHAnsi" w:eastAsiaTheme="minorEastAsia" w:hAnsiTheme="minorHAnsi" w:cstheme="minorBidi"/>
                <w:noProof/>
                <w:lang w:eastAsia="en-AU"/>
              </w:rPr>
              <w:tab/>
            </w:r>
            <w:r w:rsidR="00972E0B" w:rsidRPr="004379CE">
              <w:rPr>
                <w:rStyle w:val="Hyperlink"/>
                <w:noProof/>
              </w:rPr>
              <w:t>Executive Committee</w:t>
            </w:r>
            <w:r w:rsidR="00972E0B">
              <w:rPr>
                <w:noProof/>
                <w:webHidden/>
              </w:rPr>
              <w:tab/>
            </w:r>
            <w:r w:rsidR="00972E0B">
              <w:rPr>
                <w:noProof/>
                <w:webHidden/>
              </w:rPr>
              <w:fldChar w:fldCharType="begin"/>
            </w:r>
            <w:r w:rsidR="00972E0B">
              <w:rPr>
                <w:noProof/>
                <w:webHidden/>
              </w:rPr>
              <w:instrText xml:space="preserve"> PAGEREF _Toc106196268 \h </w:instrText>
            </w:r>
            <w:r w:rsidR="00972E0B">
              <w:rPr>
                <w:noProof/>
                <w:webHidden/>
              </w:rPr>
            </w:r>
            <w:r w:rsidR="00972E0B">
              <w:rPr>
                <w:noProof/>
                <w:webHidden/>
              </w:rPr>
              <w:fldChar w:fldCharType="separate"/>
            </w:r>
            <w:r w:rsidR="00972E0B">
              <w:rPr>
                <w:noProof/>
                <w:webHidden/>
              </w:rPr>
              <w:t>8</w:t>
            </w:r>
            <w:r w:rsidR="00972E0B">
              <w:rPr>
                <w:noProof/>
                <w:webHidden/>
              </w:rPr>
              <w:fldChar w:fldCharType="end"/>
            </w:r>
          </w:hyperlink>
        </w:p>
        <w:p w14:paraId="4FF8D733" w14:textId="0FD62B4F" w:rsidR="00972E0B" w:rsidRDefault="00F838E1">
          <w:pPr>
            <w:pStyle w:val="TOC1"/>
            <w:tabs>
              <w:tab w:val="left" w:pos="440"/>
              <w:tab w:val="right" w:leader="dot" w:pos="10308"/>
            </w:tabs>
            <w:rPr>
              <w:rFonts w:asciiTheme="minorHAnsi" w:eastAsiaTheme="minorEastAsia" w:hAnsiTheme="minorHAnsi" w:cstheme="minorBidi"/>
              <w:noProof/>
              <w:lang w:eastAsia="en-AU"/>
            </w:rPr>
          </w:pPr>
          <w:hyperlink w:anchor="_Toc106196269" w:history="1">
            <w:r w:rsidR="00972E0B" w:rsidRPr="004379CE">
              <w:rPr>
                <w:rStyle w:val="Hyperlink"/>
                <w:noProof/>
              </w:rPr>
              <w:t>5.</w:t>
            </w:r>
            <w:r w:rsidR="00972E0B">
              <w:rPr>
                <w:rFonts w:asciiTheme="minorHAnsi" w:eastAsiaTheme="minorEastAsia" w:hAnsiTheme="minorHAnsi" w:cstheme="minorBidi"/>
                <w:noProof/>
                <w:lang w:eastAsia="en-AU"/>
              </w:rPr>
              <w:tab/>
            </w:r>
            <w:r w:rsidR="00972E0B" w:rsidRPr="004379CE">
              <w:rPr>
                <w:rStyle w:val="Hyperlink"/>
                <w:noProof/>
              </w:rPr>
              <w:t>Meetings</w:t>
            </w:r>
            <w:r w:rsidR="00972E0B">
              <w:rPr>
                <w:noProof/>
                <w:webHidden/>
              </w:rPr>
              <w:tab/>
            </w:r>
            <w:r w:rsidR="00972E0B">
              <w:rPr>
                <w:noProof/>
                <w:webHidden/>
              </w:rPr>
              <w:fldChar w:fldCharType="begin"/>
            </w:r>
            <w:r w:rsidR="00972E0B">
              <w:rPr>
                <w:noProof/>
                <w:webHidden/>
              </w:rPr>
              <w:instrText xml:space="preserve"> PAGEREF _Toc106196269 \h </w:instrText>
            </w:r>
            <w:r w:rsidR="00972E0B">
              <w:rPr>
                <w:noProof/>
                <w:webHidden/>
              </w:rPr>
            </w:r>
            <w:r w:rsidR="00972E0B">
              <w:rPr>
                <w:noProof/>
                <w:webHidden/>
              </w:rPr>
              <w:fldChar w:fldCharType="separate"/>
            </w:r>
            <w:r w:rsidR="00972E0B">
              <w:rPr>
                <w:noProof/>
                <w:webHidden/>
              </w:rPr>
              <w:t>9</w:t>
            </w:r>
            <w:r w:rsidR="00972E0B">
              <w:rPr>
                <w:noProof/>
                <w:webHidden/>
              </w:rPr>
              <w:fldChar w:fldCharType="end"/>
            </w:r>
          </w:hyperlink>
        </w:p>
        <w:p w14:paraId="186491BA" w14:textId="5CC09A53"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0" w:history="1">
            <w:r w:rsidR="00972E0B" w:rsidRPr="004379CE">
              <w:rPr>
                <w:rStyle w:val="Hyperlink"/>
                <w:noProof/>
              </w:rPr>
              <w:t>5.1</w:t>
            </w:r>
            <w:r w:rsidR="00972E0B">
              <w:rPr>
                <w:rFonts w:asciiTheme="minorHAnsi" w:eastAsiaTheme="minorEastAsia" w:hAnsiTheme="minorHAnsi" w:cstheme="minorBidi"/>
                <w:noProof/>
                <w:lang w:eastAsia="en-AU"/>
              </w:rPr>
              <w:tab/>
            </w:r>
            <w:r w:rsidR="00972E0B" w:rsidRPr="004379CE">
              <w:rPr>
                <w:rStyle w:val="Hyperlink"/>
                <w:noProof/>
              </w:rPr>
              <w:t>Frequency of Meetings</w:t>
            </w:r>
            <w:r w:rsidR="00972E0B">
              <w:rPr>
                <w:noProof/>
                <w:webHidden/>
              </w:rPr>
              <w:tab/>
            </w:r>
            <w:r w:rsidR="00972E0B">
              <w:rPr>
                <w:noProof/>
                <w:webHidden/>
              </w:rPr>
              <w:fldChar w:fldCharType="begin"/>
            </w:r>
            <w:r w:rsidR="00972E0B">
              <w:rPr>
                <w:noProof/>
                <w:webHidden/>
              </w:rPr>
              <w:instrText xml:space="preserve"> PAGEREF _Toc106196270 \h </w:instrText>
            </w:r>
            <w:r w:rsidR="00972E0B">
              <w:rPr>
                <w:noProof/>
                <w:webHidden/>
              </w:rPr>
            </w:r>
            <w:r w:rsidR="00972E0B">
              <w:rPr>
                <w:noProof/>
                <w:webHidden/>
              </w:rPr>
              <w:fldChar w:fldCharType="separate"/>
            </w:r>
            <w:r w:rsidR="00972E0B">
              <w:rPr>
                <w:noProof/>
                <w:webHidden/>
              </w:rPr>
              <w:t>9</w:t>
            </w:r>
            <w:r w:rsidR="00972E0B">
              <w:rPr>
                <w:noProof/>
                <w:webHidden/>
              </w:rPr>
              <w:fldChar w:fldCharType="end"/>
            </w:r>
          </w:hyperlink>
        </w:p>
        <w:p w14:paraId="65374A02" w14:textId="14CB3EBD"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1" w:history="1">
            <w:r w:rsidR="00972E0B" w:rsidRPr="004379CE">
              <w:rPr>
                <w:rStyle w:val="Hyperlink"/>
                <w:noProof/>
              </w:rPr>
              <w:t>5.2</w:t>
            </w:r>
            <w:r w:rsidR="00972E0B">
              <w:rPr>
                <w:rFonts w:asciiTheme="minorHAnsi" w:eastAsiaTheme="minorEastAsia" w:hAnsiTheme="minorHAnsi" w:cstheme="minorBidi"/>
                <w:noProof/>
                <w:lang w:eastAsia="en-AU"/>
              </w:rPr>
              <w:tab/>
            </w:r>
            <w:r w:rsidR="00972E0B" w:rsidRPr="004379CE">
              <w:rPr>
                <w:rStyle w:val="Hyperlink"/>
                <w:noProof/>
              </w:rPr>
              <w:t>Notice of Meetings</w:t>
            </w:r>
            <w:r w:rsidR="00972E0B">
              <w:rPr>
                <w:noProof/>
                <w:webHidden/>
              </w:rPr>
              <w:tab/>
            </w:r>
            <w:r w:rsidR="00972E0B">
              <w:rPr>
                <w:noProof/>
                <w:webHidden/>
              </w:rPr>
              <w:fldChar w:fldCharType="begin"/>
            </w:r>
            <w:r w:rsidR="00972E0B">
              <w:rPr>
                <w:noProof/>
                <w:webHidden/>
              </w:rPr>
              <w:instrText xml:space="preserve"> PAGEREF _Toc106196271 \h </w:instrText>
            </w:r>
            <w:r w:rsidR="00972E0B">
              <w:rPr>
                <w:noProof/>
                <w:webHidden/>
              </w:rPr>
            </w:r>
            <w:r w:rsidR="00972E0B">
              <w:rPr>
                <w:noProof/>
                <w:webHidden/>
              </w:rPr>
              <w:fldChar w:fldCharType="separate"/>
            </w:r>
            <w:r w:rsidR="00972E0B">
              <w:rPr>
                <w:noProof/>
                <w:webHidden/>
              </w:rPr>
              <w:t>9</w:t>
            </w:r>
            <w:r w:rsidR="00972E0B">
              <w:rPr>
                <w:noProof/>
                <w:webHidden/>
              </w:rPr>
              <w:fldChar w:fldCharType="end"/>
            </w:r>
          </w:hyperlink>
        </w:p>
        <w:p w14:paraId="151F2CD5" w14:textId="3A816F4A"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2" w:history="1">
            <w:r w:rsidR="00972E0B" w:rsidRPr="004379CE">
              <w:rPr>
                <w:rStyle w:val="Hyperlink"/>
                <w:noProof/>
              </w:rPr>
              <w:t>5.3</w:t>
            </w:r>
            <w:r w:rsidR="00972E0B">
              <w:rPr>
                <w:rFonts w:asciiTheme="minorHAnsi" w:eastAsiaTheme="minorEastAsia" w:hAnsiTheme="minorHAnsi" w:cstheme="minorBidi"/>
                <w:noProof/>
                <w:lang w:eastAsia="en-AU"/>
              </w:rPr>
              <w:tab/>
            </w:r>
            <w:r w:rsidR="00972E0B" w:rsidRPr="004379CE">
              <w:rPr>
                <w:rStyle w:val="Hyperlink"/>
                <w:noProof/>
              </w:rPr>
              <w:t>Quorum</w:t>
            </w:r>
            <w:r w:rsidR="00972E0B">
              <w:rPr>
                <w:noProof/>
                <w:webHidden/>
              </w:rPr>
              <w:tab/>
            </w:r>
            <w:r w:rsidR="00972E0B">
              <w:rPr>
                <w:noProof/>
                <w:webHidden/>
              </w:rPr>
              <w:fldChar w:fldCharType="begin"/>
            </w:r>
            <w:r w:rsidR="00972E0B">
              <w:rPr>
                <w:noProof/>
                <w:webHidden/>
              </w:rPr>
              <w:instrText xml:space="preserve"> PAGEREF _Toc106196272 \h </w:instrText>
            </w:r>
            <w:r w:rsidR="00972E0B">
              <w:rPr>
                <w:noProof/>
                <w:webHidden/>
              </w:rPr>
            </w:r>
            <w:r w:rsidR="00972E0B">
              <w:rPr>
                <w:noProof/>
                <w:webHidden/>
              </w:rPr>
              <w:fldChar w:fldCharType="separate"/>
            </w:r>
            <w:r w:rsidR="00972E0B">
              <w:rPr>
                <w:noProof/>
                <w:webHidden/>
              </w:rPr>
              <w:t>9</w:t>
            </w:r>
            <w:r w:rsidR="00972E0B">
              <w:rPr>
                <w:noProof/>
                <w:webHidden/>
              </w:rPr>
              <w:fldChar w:fldCharType="end"/>
            </w:r>
          </w:hyperlink>
        </w:p>
        <w:p w14:paraId="6807B5C0" w14:textId="4F81FBC4"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3" w:history="1">
            <w:r w:rsidR="00972E0B" w:rsidRPr="004379CE">
              <w:rPr>
                <w:rStyle w:val="Hyperlink"/>
                <w:noProof/>
              </w:rPr>
              <w:t>5.4</w:t>
            </w:r>
            <w:r w:rsidR="00972E0B">
              <w:rPr>
                <w:rFonts w:asciiTheme="minorHAnsi" w:eastAsiaTheme="minorEastAsia" w:hAnsiTheme="minorHAnsi" w:cstheme="minorBidi"/>
                <w:noProof/>
                <w:lang w:eastAsia="en-AU"/>
              </w:rPr>
              <w:tab/>
            </w:r>
            <w:r w:rsidR="00972E0B" w:rsidRPr="004379CE">
              <w:rPr>
                <w:rStyle w:val="Hyperlink"/>
                <w:noProof/>
              </w:rPr>
              <w:t>Privacy and confidentiality</w:t>
            </w:r>
            <w:r w:rsidR="00972E0B">
              <w:rPr>
                <w:noProof/>
                <w:webHidden/>
              </w:rPr>
              <w:tab/>
            </w:r>
            <w:r w:rsidR="00972E0B">
              <w:rPr>
                <w:noProof/>
                <w:webHidden/>
              </w:rPr>
              <w:fldChar w:fldCharType="begin"/>
            </w:r>
            <w:r w:rsidR="00972E0B">
              <w:rPr>
                <w:noProof/>
                <w:webHidden/>
              </w:rPr>
              <w:instrText xml:space="preserve"> PAGEREF _Toc106196273 \h </w:instrText>
            </w:r>
            <w:r w:rsidR="00972E0B">
              <w:rPr>
                <w:noProof/>
                <w:webHidden/>
              </w:rPr>
            </w:r>
            <w:r w:rsidR="00972E0B">
              <w:rPr>
                <w:noProof/>
                <w:webHidden/>
              </w:rPr>
              <w:fldChar w:fldCharType="separate"/>
            </w:r>
            <w:r w:rsidR="00972E0B">
              <w:rPr>
                <w:noProof/>
                <w:webHidden/>
              </w:rPr>
              <w:t>9</w:t>
            </w:r>
            <w:r w:rsidR="00972E0B">
              <w:rPr>
                <w:noProof/>
                <w:webHidden/>
              </w:rPr>
              <w:fldChar w:fldCharType="end"/>
            </w:r>
          </w:hyperlink>
        </w:p>
        <w:p w14:paraId="0AD486CE" w14:textId="72D3C51A"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4" w:history="1">
            <w:r w:rsidR="00972E0B" w:rsidRPr="004379CE">
              <w:rPr>
                <w:rStyle w:val="Hyperlink"/>
                <w:noProof/>
              </w:rPr>
              <w:t>5.5</w:t>
            </w:r>
            <w:r w:rsidR="00972E0B">
              <w:rPr>
                <w:rFonts w:asciiTheme="minorHAnsi" w:eastAsiaTheme="minorEastAsia" w:hAnsiTheme="minorHAnsi" w:cstheme="minorBidi"/>
                <w:noProof/>
                <w:lang w:eastAsia="en-AU"/>
              </w:rPr>
              <w:tab/>
            </w:r>
            <w:r w:rsidR="00972E0B" w:rsidRPr="004379CE">
              <w:rPr>
                <w:rStyle w:val="Hyperlink"/>
                <w:noProof/>
              </w:rPr>
              <w:t>Code of conduct</w:t>
            </w:r>
            <w:r w:rsidR="00972E0B">
              <w:rPr>
                <w:noProof/>
                <w:webHidden/>
              </w:rPr>
              <w:tab/>
            </w:r>
            <w:r w:rsidR="00972E0B">
              <w:rPr>
                <w:noProof/>
                <w:webHidden/>
              </w:rPr>
              <w:fldChar w:fldCharType="begin"/>
            </w:r>
            <w:r w:rsidR="00972E0B">
              <w:rPr>
                <w:noProof/>
                <w:webHidden/>
              </w:rPr>
              <w:instrText xml:space="preserve"> PAGEREF _Toc106196274 \h </w:instrText>
            </w:r>
            <w:r w:rsidR="00972E0B">
              <w:rPr>
                <w:noProof/>
                <w:webHidden/>
              </w:rPr>
            </w:r>
            <w:r w:rsidR="00972E0B">
              <w:rPr>
                <w:noProof/>
                <w:webHidden/>
              </w:rPr>
              <w:fldChar w:fldCharType="separate"/>
            </w:r>
            <w:r w:rsidR="00972E0B">
              <w:rPr>
                <w:noProof/>
                <w:webHidden/>
              </w:rPr>
              <w:t>9</w:t>
            </w:r>
            <w:r w:rsidR="00972E0B">
              <w:rPr>
                <w:noProof/>
                <w:webHidden/>
              </w:rPr>
              <w:fldChar w:fldCharType="end"/>
            </w:r>
          </w:hyperlink>
        </w:p>
        <w:p w14:paraId="16445093" w14:textId="6CD09FE5"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5" w:history="1">
            <w:r w:rsidR="00972E0B" w:rsidRPr="004379CE">
              <w:rPr>
                <w:rStyle w:val="Hyperlink"/>
                <w:noProof/>
              </w:rPr>
              <w:t>5.6</w:t>
            </w:r>
            <w:r w:rsidR="00972E0B">
              <w:rPr>
                <w:rFonts w:asciiTheme="minorHAnsi" w:eastAsiaTheme="minorEastAsia" w:hAnsiTheme="minorHAnsi" w:cstheme="minorBidi"/>
                <w:noProof/>
                <w:lang w:eastAsia="en-AU"/>
              </w:rPr>
              <w:tab/>
            </w:r>
            <w:r w:rsidR="00972E0B" w:rsidRPr="004379CE">
              <w:rPr>
                <w:rStyle w:val="Hyperlink"/>
                <w:noProof/>
              </w:rPr>
              <w:t>Invitees</w:t>
            </w:r>
            <w:r w:rsidR="00972E0B">
              <w:rPr>
                <w:noProof/>
                <w:webHidden/>
              </w:rPr>
              <w:tab/>
            </w:r>
            <w:r w:rsidR="00972E0B">
              <w:rPr>
                <w:noProof/>
                <w:webHidden/>
              </w:rPr>
              <w:fldChar w:fldCharType="begin"/>
            </w:r>
            <w:r w:rsidR="00972E0B">
              <w:rPr>
                <w:noProof/>
                <w:webHidden/>
              </w:rPr>
              <w:instrText xml:space="preserve"> PAGEREF _Toc106196275 \h </w:instrText>
            </w:r>
            <w:r w:rsidR="00972E0B">
              <w:rPr>
                <w:noProof/>
                <w:webHidden/>
              </w:rPr>
            </w:r>
            <w:r w:rsidR="00972E0B">
              <w:rPr>
                <w:noProof/>
                <w:webHidden/>
              </w:rPr>
              <w:fldChar w:fldCharType="separate"/>
            </w:r>
            <w:r w:rsidR="00972E0B">
              <w:rPr>
                <w:noProof/>
                <w:webHidden/>
              </w:rPr>
              <w:t>10</w:t>
            </w:r>
            <w:r w:rsidR="00972E0B">
              <w:rPr>
                <w:noProof/>
                <w:webHidden/>
              </w:rPr>
              <w:fldChar w:fldCharType="end"/>
            </w:r>
          </w:hyperlink>
        </w:p>
        <w:p w14:paraId="55D3D2AB" w14:textId="1B6582E8"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6" w:history="1">
            <w:r w:rsidR="00972E0B" w:rsidRPr="004379CE">
              <w:rPr>
                <w:rStyle w:val="Hyperlink"/>
                <w:noProof/>
              </w:rPr>
              <w:t>5.7</w:t>
            </w:r>
            <w:r w:rsidR="00972E0B">
              <w:rPr>
                <w:rFonts w:asciiTheme="minorHAnsi" w:eastAsiaTheme="minorEastAsia" w:hAnsiTheme="minorHAnsi" w:cstheme="minorBidi"/>
                <w:noProof/>
                <w:lang w:eastAsia="en-AU"/>
              </w:rPr>
              <w:tab/>
            </w:r>
            <w:r w:rsidR="00972E0B" w:rsidRPr="004379CE">
              <w:rPr>
                <w:rStyle w:val="Hyperlink"/>
                <w:noProof/>
              </w:rPr>
              <w:t>Remuneration</w:t>
            </w:r>
            <w:r w:rsidR="00972E0B">
              <w:rPr>
                <w:noProof/>
                <w:webHidden/>
              </w:rPr>
              <w:tab/>
            </w:r>
            <w:r w:rsidR="00972E0B">
              <w:rPr>
                <w:noProof/>
                <w:webHidden/>
              </w:rPr>
              <w:fldChar w:fldCharType="begin"/>
            </w:r>
            <w:r w:rsidR="00972E0B">
              <w:rPr>
                <w:noProof/>
                <w:webHidden/>
              </w:rPr>
              <w:instrText xml:space="preserve"> PAGEREF _Toc106196276 \h </w:instrText>
            </w:r>
            <w:r w:rsidR="00972E0B">
              <w:rPr>
                <w:noProof/>
                <w:webHidden/>
              </w:rPr>
            </w:r>
            <w:r w:rsidR="00972E0B">
              <w:rPr>
                <w:noProof/>
                <w:webHidden/>
              </w:rPr>
              <w:fldChar w:fldCharType="separate"/>
            </w:r>
            <w:r w:rsidR="00972E0B">
              <w:rPr>
                <w:noProof/>
                <w:webHidden/>
              </w:rPr>
              <w:t>10</w:t>
            </w:r>
            <w:r w:rsidR="00972E0B">
              <w:rPr>
                <w:noProof/>
                <w:webHidden/>
              </w:rPr>
              <w:fldChar w:fldCharType="end"/>
            </w:r>
          </w:hyperlink>
        </w:p>
        <w:p w14:paraId="3A45DDF6" w14:textId="00B32FD4"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7" w:history="1">
            <w:r w:rsidR="00972E0B" w:rsidRPr="004379CE">
              <w:rPr>
                <w:rStyle w:val="Hyperlink"/>
                <w:noProof/>
              </w:rPr>
              <w:t>5.8</w:t>
            </w:r>
            <w:r w:rsidR="00972E0B">
              <w:rPr>
                <w:rFonts w:asciiTheme="minorHAnsi" w:eastAsiaTheme="minorEastAsia" w:hAnsiTheme="minorHAnsi" w:cstheme="minorBidi"/>
                <w:noProof/>
                <w:lang w:eastAsia="en-AU"/>
              </w:rPr>
              <w:tab/>
            </w:r>
            <w:r w:rsidR="00972E0B" w:rsidRPr="004379CE">
              <w:rPr>
                <w:rStyle w:val="Hyperlink"/>
                <w:noProof/>
              </w:rPr>
              <w:t>Evaluation and Review</w:t>
            </w:r>
            <w:r w:rsidR="00972E0B">
              <w:rPr>
                <w:noProof/>
                <w:webHidden/>
              </w:rPr>
              <w:tab/>
            </w:r>
            <w:r w:rsidR="00972E0B">
              <w:rPr>
                <w:noProof/>
                <w:webHidden/>
              </w:rPr>
              <w:fldChar w:fldCharType="begin"/>
            </w:r>
            <w:r w:rsidR="00972E0B">
              <w:rPr>
                <w:noProof/>
                <w:webHidden/>
              </w:rPr>
              <w:instrText xml:space="preserve"> PAGEREF _Toc106196277 \h </w:instrText>
            </w:r>
            <w:r w:rsidR="00972E0B">
              <w:rPr>
                <w:noProof/>
                <w:webHidden/>
              </w:rPr>
            </w:r>
            <w:r w:rsidR="00972E0B">
              <w:rPr>
                <w:noProof/>
                <w:webHidden/>
              </w:rPr>
              <w:fldChar w:fldCharType="separate"/>
            </w:r>
            <w:r w:rsidR="00972E0B">
              <w:rPr>
                <w:noProof/>
                <w:webHidden/>
              </w:rPr>
              <w:t>10</w:t>
            </w:r>
            <w:r w:rsidR="00972E0B">
              <w:rPr>
                <w:noProof/>
                <w:webHidden/>
              </w:rPr>
              <w:fldChar w:fldCharType="end"/>
            </w:r>
          </w:hyperlink>
        </w:p>
        <w:p w14:paraId="2560F92A" w14:textId="58134100" w:rsidR="00972E0B" w:rsidRDefault="00F838E1">
          <w:pPr>
            <w:pStyle w:val="TOC2"/>
            <w:tabs>
              <w:tab w:val="left" w:pos="880"/>
              <w:tab w:val="right" w:leader="dot" w:pos="10308"/>
            </w:tabs>
            <w:rPr>
              <w:rFonts w:asciiTheme="minorHAnsi" w:eastAsiaTheme="minorEastAsia" w:hAnsiTheme="minorHAnsi" w:cstheme="minorBidi"/>
              <w:noProof/>
              <w:lang w:eastAsia="en-AU"/>
            </w:rPr>
          </w:pPr>
          <w:hyperlink w:anchor="_Toc106196278" w:history="1">
            <w:r w:rsidR="00972E0B" w:rsidRPr="004379CE">
              <w:rPr>
                <w:rStyle w:val="Hyperlink"/>
                <w:noProof/>
              </w:rPr>
              <w:t>5.9</w:t>
            </w:r>
            <w:r w:rsidR="00972E0B">
              <w:rPr>
                <w:rFonts w:asciiTheme="minorHAnsi" w:eastAsiaTheme="minorEastAsia" w:hAnsiTheme="minorHAnsi" w:cstheme="minorBidi"/>
                <w:noProof/>
                <w:lang w:eastAsia="en-AU"/>
              </w:rPr>
              <w:tab/>
            </w:r>
            <w:r w:rsidR="00972E0B" w:rsidRPr="004379CE">
              <w:rPr>
                <w:rStyle w:val="Hyperlink"/>
                <w:noProof/>
              </w:rPr>
              <w:t>Secretariat</w:t>
            </w:r>
            <w:r w:rsidR="00972E0B">
              <w:rPr>
                <w:noProof/>
                <w:webHidden/>
              </w:rPr>
              <w:tab/>
            </w:r>
            <w:r w:rsidR="00972E0B">
              <w:rPr>
                <w:noProof/>
                <w:webHidden/>
              </w:rPr>
              <w:fldChar w:fldCharType="begin"/>
            </w:r>
            <w:r w:rsidR="00972E0B">
              <w:rPr>
                <w:noProof/>
                <w:webHidden/>
              </w:rPr>
              <w:instrText xml:space="preserve"> PAGEREF _Toc106196278 \h </w:instrText>
            </w:r>
            <w:r w:rsidR="00972E0B">
              <w:rPr>
                <w:noProof/>
                <w:webHidden/>
              </w:rPr>
            </w:r>
            <w:r w:rsidR="00972E0B">
              <w:rPr>
                <w:noProof/>
                <w:webHidden/>
              </w:rPr>
              <w:fldChar w:fldCharType="separate"/>
            </w:r>
            <w:r w:rsidR="00972E0B">
              <w:rPr>
                <w:noProof/>
                <w:webHidden/>
              </w:rPr>
              <w:t>10</w:t>
            </w:r>
            <w:r w:rsidR="00972E0B">
              <w:rPr>
                <w:noProof/>
                <w:webHidden/>
              </w:rPr>
              <w:fldChar w:fldCharType="end"/>
            </w:r>
          </w:hyperlink>
        </w:p>
        <w:p w14:paraId="14438F16" w14:textId="5A412EDE" w:rsidR="00972E0B" w:rsidRDefault="00F838E1">
          <w:pPr>
            <w:pStyle w:val="TOC1"/>
            <w:tabs>
              <w:tab w:val="left" w:pos="440"/>
              <w:tab w:val="right" w:leader="dot" w:pos="10308"/>
            </w:tabs>
            <w:rPr>
              <w:rFonts w:asciiTheme="minorHAnsi" w:eastAsiaTheme="minorEastAsia" w:hAnsiTheme="minorHAnsi" w:cstheme="minorBidi"/>
              <w:noProof/>
              <w:lang w:eastAsia="en-AU"/>
            </w:rPr>
          </w:pPr>
          <w:hyperlink w:anchor="_Toc106196279" w:history="1">
            <w:r w:rsidR="00972E0B" w:rsidRPr="004379CE">
              <w:rPr>
                <w:rStyle w:val="Hyperlink"/>
                <w:noProof/>
              </w:rPr>
              <w:t>6.</w:t>
            </w:r>
            <w:r w:rsidR="00972E0B">
              <w:rPr>
                <w:rFonts w:asciiTheme="minorHAnsi" w:eastAsiaTheme="minorEastAsia" w:hAnsiTheme="minorHAnsi" w:cstheme="minorBidi"/>
                <w:noProof/>
                <w:lang w:eastAsia="en-AU"/>
              </w:rPr>
              <w:tab/>
            </w:r>
            <w:r w:rsidR="00972E0B" w:rsidRPr="004379CE">
              <w:rPr>
                <w:rStyle w:val="Hyperlink"/>
                <w:noProof/>
              </w:rPr>
              <w:t>Conflict of Interest</w:t>
            </w:r>
            <w:r w:rsidR="00972E0B">
              <w:rPr>
                <w:noProof/>
                <w:webHidden/>
              </w:rPr>
              <w:tab/>
            </w:r>
            <w:r w:rsidR="00972E0B">
              <w:rPr>
                <w:noProof/>
                <w:webHidden/>
              </w:rPr>
              <w:fldChar w:fldCharType="begin"/>
            </w:r>
            <w:r w:rsidR="00972E0B">
              <w:rPr>
                <w:noProof/>
                <w:webHidden/>
              </w:rPr>
              <w:instrText xml:space="preserve"> PAGEREF _Toc106196279 \h </w:instrText>
            </w:r>
            <w:r w:rsidR="00972E0B">
              <w:rPr>
                <w:noProof/>
                <w:webHidden/>
              </w:rPr>
            </w:r>
            <w:r w:rsidR="00972E0B">
              <w:rPr>
                <w:noProof/>
                <w:webHidden/>
              </w:rPr>
              <w:fldChar w:fldCharType="separate"/>
            </w:r>
            <w:r w:rsidR="00972E0B">
              <w:rPr>
                <w:noProof/>
                <w:webHidden/>
              </w:rPr>
              <w:t>11</w:t>
            </w:r>
            <w:r w:rsidR="00972E0B">
              <w:rPr>
                <w:noProof/>
                <w:webHidden/>
              </w:rPr>
              <w:fldChar w:fldCharType="end"/>
            </w:r>
          </w:hyperlink>
        </w:p>
        <w:p w14:paraId="7ED4F5C3" w14:textId="4E6D70FA" w:rsidR="00972E0B" w:rsidRDefault="00F838E1">
          <w:pPr>
            <w:pStyle w:val="TOC2"/>
            <w:tabs>
              <w:tab w:val="right" w:leader="dot" w:pos="10308"/>
            </w:tabs>
            <w:rPr>
              <w:rFonts w:asciiTheme="minorHAnsi" w:eastAsiaTheme="minorEastAsia" w:hAnsiTheme="minorHAnsi" w:cstheme="minorBidi"/>
              <w:noProof/>
              <w:lang w:eastAsia="en-AU"/>
            </w:rPr>
          </w:pPr>
          <w:hyperlink w:anchor="_Toc106196280" w:history="1">
            <w:r w:rsidR="00972E0B" w:rsidRPr="004379CE">
              <w:rPr>
                <w:rStyle w:val="Hyperlink"/>
                <w:noProof/>
              </w:rPr>
              <w:t>6.1  Public sector employee members</w:t>
            </w:r>
            <w:r w:rsidR="00972E0B">
              <w:rPr>
                <w:noProof/>
                <w:webHidden/>
              </w:rPr>
              <w:tab/>
            </w:r>
            <w:r w:rsidR="00972E0B">
              <w:rPr>
                <w:noProof/>
                <w:webHidden/>
              </w:rPr>
              <w:fldChar w:fldCharType="begin"/>
            </w:r>
            <w:r w:rsidR="00972E0B">
              <w:rPr>
                <w:noProof/>
                <w:webHidden/>
              </w:rPr>
              <w:instrText xml:space="preserve"> PAGEREF _Toc106196280 \h </w:instrText>
            </w:r>
            <w:r w:rsidR="00972E0B">
              <w:rPr>
                <w:noProof/>
                <w:webHidden/>
              </w:rPr>
            </w:r>
            <w:r w:rsidR="00972E0B">
              <w:rPr>
                <w:noProof/>
                <w:webHidden/>
              </w:rPr>
              <w:fldChar w:fldCharType="separate"/>
            </w:r>
            <w:r w:rsidR="00972E0B">
              <w:rPr>
                <w:noProof/>
                <w:webHidden/>
              </w:rPr>
              <w:t>11</w:t>
            </w:r>
            <w:r w:rsidR="00972E0B">
              <w:rPr>
                <w:noProof/>
                <w:webHidden/>
              </w:rPr>
              <w:fldChar w:fldCharType="end"/>
            </w:r>
          </w:hyperlink>
        </w:p>
        <w:p w14:paraId="4AE53193" w14:textId="479A2DA9" w:rsidR="00972E0B" w:rsidRDefault="00F838E1">
          <w:pPr>
            <w:pStyle w:val="TOC2"/>
            <w:tabs>
              <w:tab w:val="right" w:leader="dot" w:pos="10308"/>
            </w:tabs>
            <w:rPr>
              <w:rFonts w:asciiTheme="minorHAnsi" w:eastAsiaTheme="minorEastAsia" w:hAnsiTheme="minorHAnsi" w:cstheme="minorBidi"/>
              <w:noProof/>
              <w:lang w:eastAsia="en-AU"/>
            </w:rPr>
          </w:pPr>
          <w:hyperlink w:anchor="_Toc106196281" w:history="1">
            <w:r w:rsidR="00972E0B" w:rsidRPr="004379CE">
              <w:rPr>
                <w:rStyle w:val="Hyperlink"/>
                <w:noProof/>
              </w:rPr>
              <w:t>6.2  Non-public sector employee members</w:t>
            </w:r>
            <w:r w:rsidR="00972E0B">
              <w:rPr>
                <w:noProof/>
                <w:webHidden/>
              </w:rPr>
              <w:tab/>
            </w:r>
            <w:r w:rsidR="00972E0B">
              <w:rPr>
                <w:noProof/>
                <w:webHidden/>
              </w:rPr>
              <w:fldChar w:fldCharType="begin"/>
            </w:r>
            <w:r w:rsidR="00972E0B">
              <w:rPr>
                <w:noProof/>
                <w:webHidden/>
              </w:rPr>
              <w:instrText xml:space="preserve"> PAGEREF _Toc106196281 \h </w:instrText>
            </w:r>
            <w:r w:rsidR="00972E0B">
              <w:rPr>
                <w:noProof/>
                <w:webHidden/>
              </w:rPr>
            </w:r>
            <w:r w:rsidR="00972E0B">
              <w:rPr>
                <w:noProof/>
                <w:webHidden/>
              </w:rPr>
              <w:fldChar w:fldCharType="separate"/>
            </w:r>
            <w:r w:rsidR="00972E0B">
              <w:rPr>
                <w:noProof/>
                <w:webHidden/>
              </w:rPr>
              <w:t>11</w:t>
            </w:r>
            <w:r w:rsidR="00972E0B">
              <w:rPr>
                <w:noProof/>
                <w:webHidden/>
              </w:rPr>
              <w:fldChar w:fldCharType="end"/>
            </w:r>
          </w:hyperlink>
        </w:p>
        <w:p w14:paraId="0661CF83" w14:textId="43172B18" w:rsidR="00570C40" w:rsidRDefault="00570C40">
          <w:r>
            <w:rPr>
              <w:b/>
              <w:bCs/>
              <w:noProof/>
            </w:rPr>
            <w:fldChar w:fldCharType="end"/>
          </w:r>
        </w:p>
      </w:sdtContent>
    </w:sdt>
    <w:p w14:paraId="71629B3F" w14:textId="77777777" w:rsidR="00570C40" w:rsidRDefault="00570C40" w:rsidP="00570C40">
      <w:pPr>
        <w:rPr>
          <w:b/>
        </w:rPr>
        <w:sectPr w:rsidR="00570C40" w:rsidSect="004609AD">
          <w:headerReference w:type="first" r:id="rId13"/>
          <w:pgSz w:w="11906" w:h="16838" w:code="9"/>
          <w:pgMar w:top="794" w:right="794" w:bottom="794" w:left="794" w:header="794" w:footer="794" w:gutter="0"/>
          <w:cols w:space="708"/>
          <w:docGrid w:linePitch="360"/>
        </w:sectPr>
      </w:pPr>
    </w:p>
    <w:p w14:paraId="6EEAA4BD" w14:textId="77777777" w:rsidR="00570C40" w:rsidRDefault="00570C40" w:rsidP="00353EDE">
      <w:pPr>
        <w:pStyle w:val="Heading1"/>
      </w:pPr>
      <w:bookmarkStart w:id="1" w:name="_Toc106196258"/>
      <w:r w:rsidRPr="00353EDE">
        <w:lastRenderedPageBreak/>
        <w:t>Introduction</w:t>
      </w:r>
      <w:bookmarkEnd w:id="1"/>
    </w:p>
    <w:p w14:paraId="3ABED362" w14:textId="77777777" w:rsidR="00570C40" w:rsidRDefault="00570C40" w:rsidP="00372732">
      <w:pPr>
        <w:pStyle w:val="Heading2"/>
        <w:numPr>
          <w:ilvl w:val="1"/>
          <w:numId w:val="9"/>
        </w:numPr>
        <w:ind w:left="851" w:hanging="667"/>
      </w:pPr>
      <w:bookmarkStart w:id="2" w:name="_Toc106196259"/>
      <w:r>
        <w:t>Purpose</w:t>
      </w:r>
      <w:bookmarkEnd w:id="2"/>
    </w:p>
    <w:p w14:paraId="45C01FA8" w14:textId="15B8A494" w:rsidR="004D1DF4" w:rsidRPr="004D1DF4" w:rsidRDefault="004D1DF4" w:rsidP="004D1DF4">
      <w:pPr>
        <w:spacing w:after="0"/>
        <w:ind w:left="360"/>
        <w:rPr>
          <w:rFonts w:cs="Arial"/>
        </w:rPr>
      </w:pPr>
      <w:r w:rsidRPr="004D1DF4">
        <w:rPr>
          <w:rFonts w:cs="Arial"/>
        </w:rPr>
        <w:t xml:space="preserve">The overall development, management and performance of the public health system is the responsibility of the System Manager, defined as the Chief Executive in the </w:t>
      </w:r>
      <w:r w:rsidRPr="004D1DF4">
        <w:rPr>
          <w:rFonts w:cs="Arial"/>
          <w:i/>
        </w:rPr>
        <w:t>Health Service Act 20</w:t>
      </w:r>
      <w:r w:rsidR="004E3BA9">
        <w:rPr>
          <w:rFonts w:cs="Arial"/>
          <w:i/>
        </w:rPr>
        <w:t>21</w:t>
      </w:r>
      <w:r w:rsidR="00372732">
        <w:rPr>
          <w:rStyle w:val="FootnoteReference"/>
          <w:rFonts w:cs="Arial"/>
          <w:i/>
        </w:rPr>
        <w:footnoteReference w:id="1"/>
      </w:r>
      <w:r w:rsidRPr="004D1DF4">
        <w:rPr>
          <w:rFonts w:cs="Arial"/>
        </w:rPr>
        <w:t>. The System Manager is responsible for Territory-wide planning, managing capital works, monitoring and managing the performance of</w:t>
      </w:r>
      <w:r w:rsidR="001E2CC1">
        <w:rPr>
          <w:rFonts w:cs="Arial"/>
        </w:rPr>
        <w:t xml:space="preserve"> the</w:t>
      </w:r>
      <w:r w:rsidRPr="004D1DF4">
        <w:rPr>
          <w:rFonts w:cs="Arial"/>
        </w:rPr>
        <w:t xml:space="preserve"> Health Service and the Public Health System as a whole.</w:t>
      </w:r>
    </w:p>
    <w:p w14:paraId="768B4DB0" w14:textId="77777777" w:rsidR="004D1DF4" w:rsidRPr="004D1DF4" w:rsidRDefault="004D1DF4" w:rsidP="004D1DF4">
      <w:pPr>
        <w:spacing w:after="0"/>
        <w:ind w:left="360"/>
        <w:rPr>
          <w:rFonts w:cs="Arial"/>
        </w:rPr>
      </w:pPr>
    </w:p>
    <w:p w14:paraId="59305B16" w14:textId="6CB07F60" w:rsidR="004D1DF4" w:rsidRPr="004D1DF4" w:rsidRDefault="004D1DF4" w:rsidP="004D1DF4">
      <w:pPr>
        <w:spacing w:after="0"/>
        <w:ind w:left="360"/>
        <w:rPr>
          <w:rFonts w:cs="Arial"/>
        </w:rPr>
      </w:pPr>
      <w:r w:rsidRPr="00A47DDE">
        <w:t>The NT Clinical Senate (the Senate) provides the Chief Executive Department of Health</w:t>
      </w:r>
      <w:r>
        <w:t xml:space="preserve"> (D</w:t>
      </w:r>
      <w:r w:rsidR="006F3FBD">
        <w:t>o</w:t>
      </w:r>
      <w:r>
        <w:t>H)</w:t>
      </w:r>
      <w:r w:rsidRPr="00A47DDE">
        <w:t xml:space="preserve"> with informed advice, based on best practice and available evidence, regarding the improvement of clinical quality and safety of health services across the Northern Territory. The Senate promotes clinical engagement to underpin healthcare reform.</w:t>
      </w:r>
      <w:r w:rsidRPr="004D1DF4">
        <w:rPr>
          <w:rFonts w:cs="Arial"/>
        </w:rPr>
        <w:t xml:space="preserve"> </w:t>
      </w:r>
    </w:p>
    <w:p w14:paraId="2F234877" w14:textId="77777777" w:rsidR="00E34412" w:rsidRDefault="00E34412" w:rsidP="004D1DF4">
      <w:pPr>
        <w:tabs>
          <w:tab w:val="left" w:pos="1933"/>
        </w:tabs>
        <w:spacing w:before="120" w:line="276" w:lineRule="auto"/>
        <w:ind w:left="360"/>
        <w:contextualSpacing/>
        <w:rPr>
          <w:sz w:val="24"/>
          <w:szCs w:val="24"/>
        </w:rPr>
      </w:pPr>
    </w:p>
    <w:p w14:paraId="4675A877" w14:textId="2DE7B284" w:rsidR="004D1DF4" w:rsidRDefault="004D1DF4" w:rsidP="00353EDE">
      <w:pPr>
        <w:pStyle w:val="Heading1"/>
      </w:pPr>
      <w:bookmarkStart w:id="3" w:name="_Toc106196260"/>
      <w:r>
        <w:t>Princip</w:t>
      </w:r>
      <w:r w:rsidR="00BB0901">
        <w:t>le</w:t>
      </w:r>
      <w:r>
        <w:t>s</w:t>
      </w:r>
      <w:bookmarkEnd w:id="3"/>
    </w:p>
    <w:p w14:paraId="2ACCC0F6" w14:textId="77777777" w:rsidR="004D1DF4" w:rsidRPr="00F6262C" w:rsidRDefault="004D1DF4" w:rsidP="004D1DF4">
      <w:pPr>
        <w:autoSpaceDE w:val="0"/>
        <w:autoSpaceDN w:val="0"/>
        <w:adjustRightInd w:val="0"/>
        <w:rPr>
          <w:rFonts w:eastAsiaTheme="minorHAnsi" w:cs="Arial"/>
        </w:rPr>
      </w:pPr>
      <w:r w:rsidRPr="00F6262C">
        <w:rPr>
          <w:rFonts w:eastAsiaTheme="minorHAnsi" w:cs="Arial"/>
        </w:rPr>
        <w:t xml:space="preserve">Clinical leadership and advice provided by the </w:t>
      </w:r>
      <w:r w:rsidRPr="00F6262C">
        <w:t>Senate</w:t>
      </w:r>
      <w:r w:rsidRPr="00F6262C">
        <w:rPr>
          <w:rFonts w:eastAsiaTheme="minorHAnsi" w:cs="Arial"/>
        </w:rPr>
        <w:t xml:space="preserve"> should be guided by the following principles:</w:t>
      </w:r>
    </w:p>
    <w:p w14:paraId="0C136E25" w14:textId="77777777" w:rsidR="004D1DF4" w:rsidRPr="00F6262C" w:rsidRDefault="004D1DF4" w:rsidP="00372732">
      <w:pPr>
        <w:pStyle w:val="ListParagraph"/>
        <w:numPr>
          <w:ilvl w:val="0"/>
          <w:numId w:val="23"/>
        </w:numPr>
        <w:autoSpaceDE w:val="0"/>
        <w:autoSpaceDN w:val="0"/>
        <w:adjustRightInd w:val="0"/>
        <w:spacing w:after="100"/>
        <w:ind w:left="709" w:right="679" w:hanging="425"/>
      </w:pPr>
      <w:r w:rsidRPr="00F6262C">
        <w:rPr>
          <w:rFonts w:eastAsiaTheme="minorHAnsi" w:cs="Arial"/>
        </w:rPr>
        <w:t>Focuses on the provision of high quality health care delivery and improving health outcomes through consideration of a ‘system’ wide’ approach</w:t>
      </w:r>
    </w:p>
    <w:p w14:paraId="60752D93" w14:textId="77777777" w:rsidR="004D1DF4" w:rsidRPr="00F6262C" w:rsidRDefault="004D1DF4" w:rsidP="00372732">
      <w:pPr>
        <w:pStyle w:val="ListParagraph"/>
        <w:numPr>
          <w:ilvl w:val="0"/>
          <w:numId w:val="23"/>
        </w:numPr>
        <w:autoSpaceDE w:val="0"/>
        <w:autoSpaceDN w:val="0"/>
        <w:adjustRightInd w:val="0"/>
        <w:spacing w:after="100"/>
        <w:ind w:left="709" w:right="679" w:hanging="425"/>
      </w:pPr>
      <w:r w:rsidRPr="00F6262C">
        <w:rPr>
          <w:rFonts w:eastAsiaTheme="minorHAnsi" w:cs="Arial"/>
        </w:rPr>
        <w:t>Reflects a patient-centred approach to care and service provision that meets individual needs with an emphasis on supporting and empowering people to achieve favourable healthcare experiences and outcomes</w:t>
      </w:r>
    </w:p>
    <w:p w14:paraId="0A6239B8" w14:textId="77777777" w:rsidR="004D1DF4" w:rsidRPr="00F6262C" w:rsidRDefault="004D1DF4" w:rsidP="00372732">
      <w:pPr>
        <w:pStyle w:val="ListParagraph"/>
        <w:numPr>
          <w:ilvl w:val="0"/>
          <w:numId w:val="23"/>
        </w:numPr>
        <w:autoSpaceDE w:val="0"/>
        <w:autoSpaceDN w:val="0"/>
        <w:adjustRightInd w:val="0"/>
        <w:spacing w:after="100"/>
        <w:ind w:left="709" w:right="679" w:hanging="425"/>
      </w:pPr>
      <w:r w:rsidRPr="00F6262C">
        <w:t>Supports local engagement and consultation within the health system to leverage existing work and avoid duplication</w:t>
      </w:r>
    </w:p>
    <w:p w14:paraId="754D0F19" w14:textId="77777777" w:rsidR="004D1DF4" w:rsidRPr="00F6262C" w:rsidRDefault="004D1DF4" w:rsidP="00372732">
      <w:pPr>
        <w:pStyle w:val="Default"/>
        <w:numPr>
          <w:ilvl w:val="0"/>
          <w:numId w:val="23"/>
        </w:numPr>
        <w:spacing w:after="100"/>
        <w:ind w:left="709" w:right="679" w:hanging="425"/>
        <w:jc w:val="both"/>
        <w:rPr>
          <w:rFonts w:ascii="Lato" w:hAnsi="Lato"/>
          <w:sz w:val="22"/>
          <w:szCs w:val="22"/>
        </w:rPr>
      </w:pPr>
      <w:r w:rsidRPr="00F6262C">
        <w:rPr>
          <w:rFonts w:ascii="Lato" w:hAnsi="Lato"/>
          <w:sz w:val="22"/>
          <w:szCs w:val="22"/>
        </w:rPr>
        <w:t>Drives culture and leadership to achieve clinical engagement and foster transformational change in the health system</w:t>
      </w:r>
    </w:p>
    <w:p w14:paraId="28492852" w14:textId="77777777" w:rsidR="004D1DF4" w:rsidRPr="00F6262C" w:rsidRDefault="004D1DF4" w:rsidP="00372732">
      <w:pPr>
        <w:pStyle w:val="Default"/>
        <w:numPr>
          <w:ilvl w:val="0"/>
          <w:numId w:val="23"/>
        </w:numPr>
        <w:spacing w:after="100"/>
        <w:ind w:left="709" w:right="679" w:hanging="425"/>
        <w:jc w:val="both"/>
        <w:rPr>
          <w:rFonts w:ascii="Lato" w:hAnsi="Lato"/>
          <w:sz w:val="22"/>
          <w:szCs w:val="22"/>
        </w:rPr>
      </w:pPr>
      <w:r w:rsidRPr="00F6262C">
        <w:rPr>
          <w:rFonts w:ascii="Lato" w:hAnsi="Lato"/>
          <w:sz w:val="22"/>
          <w:szCs w:val="22"/>
        </w:rPr>
        <w:t>Liaison with private sector where relevant</w:t>
      </w:r>
    </w:p>
    <w:p w14:paraId="199C9D8B" w14:textId="77777777" w:rsidR="004D1DF4" w:rsidRPr="00F6262C" w:rsidRDefault="004D1DF4" w:rsidP="00372732">
      <w:pPr>
        <w:pStyle w:val="Default"/>
        <w:numPr>
          <w:ilvl w:val="0"/>
          <w:numId w:val="23"/>
        </w:numPr>
        <w:spacing w:after="100"/>
        <w:ind w:left="709" w:right="679" w:hanging="425"/>
        <w:jc w:val="both"/>
        <w:rPr>
          <w:rFonts w:ascii="Lato" w:hAnsi="Lato"/>
          <w:sz w:val="22"/>
          <w:szCs w:val="22"/>
        </w:rPr>
      </w:pPr>
      <w:r w:rsidRPr="00F6262C">
        <w:rPr>
          <w:rFonts w:ascii="Lato" w:hAnsi="Lato"/>
          <w:color w:val="auto"/>
          <w:sz w:val="22"/>
          <w:szCs w:val="22"/>
        </w:rPr>
        <w:t xml:space="preserve">Advocates for planning and delivery of care that respects </w:t>
      </w:r>
      <w:r w:rsidRPr="00F6262C">
        <w:rPr>
          <w:rFonts w:ascii="Lato" w:hAnsi="Lato"/>
          <w:bCs/>
          <w:color w:val="auto"/>
          <w:sz w:val="22"/>
          <w:szCs w:val="22"/>
        </w:rPr>
        <w:t>the diversity of patients and higher-risk groups</w:t>
      </w:r>
    </w:p>
    <w:p w14:paraId="2854A97A" w14:textId="77777777" w:rsidR="004D1DF4" w:rsidRPr="00F6262C" w:rsidRDefault="004D1DF4" w:rsidP="00372732">
      <w:pPr>
        <w:pStyle w:val="ListParagraph"/>
        <w:numPr>
          <w:ilvl w:val="0"/>
          <w:numId w:val="23"/>
        </w:numPr>
        <w:autoSpaceDE w:val="0"/>
        <w:autoSpaceDN w:val="0"/>
        <w:adjustRightInd w:val="0"/>
        <w:spacing w:after="100"/>
        <w:ind w:left="709" w:right="679" w:hanging="425"/>
      </w:pPr>
      <w:r w:rsidRPr="00F6262C">
        <w:rPr>
          <w:rFonts w:eastAsiaTheme="minorHAnsi" w:cs="Arial"/>
        </w:rPr>
        <w:t>Promotes a culture of continuous improvement through informed best available evidence</w:t>
      </w:r>
    </w:p>
    <w:p w14:paraId="52F667D7" w14:textId="77777777" w:rsidR="004D1DF4" w:rsidRPr="00F6262C" w:rsidRDefault="004D1DF4" w:rsidP="00372732">
      <w:pPr>
        <w:pStyle w:val="ListParagraph"/>
        <w:numPr>
          <w:ilvl w:val="0"/>
          <w:numId w:val="23"/>
        </w:numPr>
        <w:autoSpaceDE w:val="0"/>
        <w:autoSpaceDN w:val="0"/>
        <w:adjustRightInd w:val="0"/>
        <w:spacing w:after="100"/>
        <w:ind w:left="709" w:right="679" w:hanging="425"/>
      </w:pPr>
      <w:r w:rsidRPr="00F6262C">
        <w:rPr>
          <w:rFonts w:eastAsiaTheme="minorHAnsi" w:cs="Arial"/>
        </w:rPr>
        <w:t>Provides constructive advice that translates into recommendations that support clinical practice, guides practitioners and patient decisions about appropriate care</w:t>
      </w:r>
    </w:p>
    <w:p w14:paraId="51FA77A0" w14:textId="4A136E53" w:rsidR="004D1DF4" w:rsidRPr="00F6262C" w:rsidRDefault="004D1DF4" w:rsidP="00372732">
      <w:pPr>
        <w:pStyle w:val="ListParagraph"/>
        <w:numPr>
          <w:ilvl w:val="0"/>
          <w:numId w:val="23"/>
        </w:numPr>
        <w:autoSpaceDE w:val="0"/>
        <w:autoSpaceDN w:val="0"/>
        <w:adjustRightInd w:val="0"/>
        <w:spacing w:after="100"/>
        <w:ind w:left="709" w:right="679" w:hanging="425"/>
      </w:pPr>
      <w:r w:rsidRPr="00F6262C">
        <w:rPr>
          <w:rFonts w:eastAsiaTheme="minorHAnsi" w:cs="Arial"/>
        </w:rPr>
        <w:t>Focus is maintained on the sphere of influence that the Senate actually has to advise the Chief Executive</w:t>
      </w:r>
      <w:r w:rsidR="006F3FBD">
        <w:rPr>
          <w:rFonts w:eastAsiaTheme="minorHAnsi" w:cs="Arial"/>
        </w:rPr>
        <w:t xml:space="preserve"> DoH</w:t>
      </w:r>
    </w:p>
    <w:p w14:paraId="10CC0AC5" w14:textId="77777777" w:rsidR="004D1DF4" w:rsidRPr="00A47DDE" w:rsidRDefault="004D1DF4" w:rsidP="00372732">
      <w:pPr>
        <w:pStyle w:val="ListParagraph"/>
        <w:numPr>
          <w:ilvl w:val="0"/>
          <w:numId w:val="23"/>
        </w:numPr>
        <w:autoSpaceDE w:val="0"/>
        <w:autoSpaceDN w:val="0"/>
        <w:adjustRightInd w:val="0"/>
        <w:spacing w:after="100"/>
        <w:ind w:left="709" w:right="679" w:hanging="425"/>
      </w:pPr>
      <w:r w:rsidRPr="00A47DDE">
        <w:rPr>
          <w:rFonts w:eastAsiaTheme="minorHAnsi" w:cs="Arial"/>
        </w:rPr>
        <w:t>The Senate adopts the WHO definition of health in its consideration of  issues</w:t>
      </w:r>
    </w:p>
    <w:p w14:paraId="7EC5F2A4" w14:textId="77777777" w:rsidR="004D1DF4" w:rsidRPr="00A47DDE" w:rsidRDefault="004D1DF4" w:rsidP="00372732">
      <w:pPr>
        <w:pStyle w:val="ListParagraph"/>
        <w:numPr>
          <w:ilvl w:val="0"/>
          <w:numId w:val="23"/>
        </w:numPr>
        <w:autoSpaceDE w:val="0"/>
        <w:autoSpaceDN w:val="0"/>
        <w:adjustRightInd w:val="0"/>
        <w:spacing w:after="100"/>
        <w:ind w:left="709" w:right="679" w:hanging="425"/>
      </w:pPr>
      <w:r w:rsidRPr="00A47DDE">
        <w:rPr>
          <w:rFonts w:eastAsiaTheme="minorHAnsi" w:cs="Arial"/>
        </w:rPr>
        <w:t>The Senate recognises that that physical, social, spiritual and psychological approach to care requires consideration of a wider perspective</w:t>
      </w:r>
    </w:p>
    <w:p w14:paraId="0AFA7DEF" w14:textId="77777777" w:rsidR="004D1DF4" w:rsidRPr="00A47DDE" w:rsidRDefault="004D1DF4" w:rsidP="00372732">
      <w:pPr>
        <w:pStyle w:val="ListParagraph"/>
        <w:numPr>
          <w:ilvl w:val="0"/>
          <w:numId w:val="23"/>
        </w:numPr>
        <w:autoSpaceDE w:val="0"/>
        <w:autoSpaceDN w:val="0"/>
        <w:adjustRightInd w:val="0"/>
        <w:spacing w:after="100" w:afterAutospacing="1"/>
        <w:ind w:left="709" w:right="679" w:hanging="425"/>
        <w:contextualSpacing/>
      </w:pPr>
      <w:r w:rsidRPr="00A47DDE">
        <w:rPr>
          <w:rFonts w:eastAsiaTheme="minorHAnsi" w:cs="Arial"/>
        </w:rPr>
        <w:t>The Senate is respectful in its engagement with Aboriginal communities and respects the voices of Aboriginal individuals and communities.</w:t>
      </w:r>
    </w:p>
    <w:p w14:paraId="46BDF325" w14:textId="77777777" w:rsidR="004D1DF4" w:rsidRPr="00A47DDE" w:rsidRDefault="004D1DF4" w:rsidP="004D1DF4">
      <w:pPr>
        <w:tabs>
          <w:tab w:val="left" w:pos="2268"/>
          <w:tab w:val="left" w:pos="5103"/>
          <w:tab w:val="right" w:pos="8789"/>
        </w:tabs>
        <w:ind w:right="57"/>
      </w:pPr>
      <w:r w:rsidRPr="00A47DDE">
        <w:lastRenderedPageBreak/>
        <w:t xml:space="preserve">The Senate adopts the </w:t>
      </w:r>
      <w:r w:rsidRPr="00A47DDE">
        <w:rPr>
          <w:b/>
          <w:i/>
        </w:rPr>
        <w:t>Deliberative Decision-Making Model</w:t>
      </w:r>
      <w:r w:rsidRPr="00A47DDE">
        <w:rPr>
          <w:rStyle w:val="FootnoteReference"/>
          <w:b/>
          <w:i/>
        </w:rPr>
        <w:footnoteReference w:id="2"/>
      </w:r>
      <w:r w:rsidRPr="00A47DDE">
        <w:t xml:space="preserve"> to reflect the following principles:</w:t>
      </w:r>
    </w:p>
    <w:p w14:paraId="0025AA90" w14:textId="77777777" w:rsidR="004D1DF4" w:rsidRPr="00A47DDE" w:rsidRDefault="004D1DF4" w:rsidP="00B435F4">
      <w:pPr>
        <w:pStyle w:val="ListParagraph"/>
        <w:numPr>
          <w:ilvl w:val="0"/>
          <w:numId w:val="24"/>
        </w:numPr>
        <w:tabs>
          <w:tab w:val="left" w:pos="2268"/>
          <w:tab w:val="left" w:pos="5103"/>
        </w:tabs>
        <w:ind w:left="850" w:right="679" w:hanging="357"/>
      </w:pPr>
      <w:r w:rsidRPr="00A47DDE">
        <w:t>Broad, cross-sectional membership</w:t>
      </w:r>
    </w:p>
    <w:p w14:paraId="400CFACE" w14:textId="77777777" w:rsidR="004D1DF4" w:rsidRPr="00A47DDE" w:rsidRDefault="004D1DF4" w:rsidP="00B435F4">
      <w:pPr>
        <w:pStyle w:val="ListParagraph"/>
        <w:numPr>
          <w:ilvl w:val="0"/>
          <w:numId w:val="24"/>
        </w:numPr>
        <w:tabs>
          <w:tab w:val="left" w:pos="2268"/>
          <w:tab w:val="left" w:pos="5103"/>
        </w:tabs>
        <w:ind w:left="850" w:right="679" w:hanging="357"/>
      </w:pPr>
      <w:r w:rsidRPr="00A47DDE">
        <w:t>Commitment to making decisions in the best interests of the whole community</w:t>
      </w:r>
    </w:p>
    <w:p w14:paraId="4CFE75EC" w14:textId="77777777" w:rsidR="004D1DF4" w:rsidRPr="00A47DDE" w:rsidRDefault="004D1DF4" w:rsidP="00B435F4">
      <w:pPr>
        <w:pStyle w:val="ListParagraph"/>
        <w:numPr>
          <w:ilvl w:val="0"/>
          <w:numId w:val="24"/>
        </w:numPr>
        <w:tabs>
          <w:tab w:val="left" w:pos="2268"/>
          <w:tab w:val="left" w:pos="5103"/>
        </w:tabs>
        <w:ind w:left="850" w:right="679" w:hanging="357"/>
      </w:pPr>
      <w:r w:rsidRPr="00A47DDE">
        <w:t>Provision and consideration of unbiased information and evidence on the given subject</w:t>
      </w:r>
    </w:p>
    <w:p w14:paraId="58FEB2BA" w14:textId="77777777" w:rsidR="004D1DF4" w:rsidRPr="00A47DDE" w:rsidRDefault="004D1DF4" w:rsidP="00B435F4">
      <w:pPr>
        <w:pStyle w:val="ListParagraph"/>
        <w:numPr>
          <w:ilvl w:val="0"/>
          <w:numId w:val="24"/>
        </w:numPr>
        <w:tabs>
          <w:tab w:val="left" w:pos="2268"/>
          <w:tab w:val="left" w:pos="5103"/>
        </w:tabs>
        <w:ind w:left="850" w:right="679" w:hanging="357"/>
      </w:pPr>
      <w:r w:rsidRPr="00A47DDE">
        <w:t>Adequate time to deliberate</w:t>
      </w:r>
    </w:p>
    <w:p w14:paraId="3E1B7B29" w14:textId="77777777" w:rsidR="004D1DF4" w:rsidRPr="00A47DDE" w:rsidRDefault="004D1DF4" w:rsidP="00B435F4">
      <w:pPr>
        <w:pStyle w:val="ListParagraph"/>
        <w:numPr>
          <w:ilvl w:val="0"/>
          <w:numId w:val="24"/>
        </w:numPr>
        <w:tabs>
          <w:tab w:val="left" w:pos="2268"/>
          <w:tab w:val="left" w:pos="5103"/>
        </w:tabs>
        <w:ind w:left="850" w:right="679" w:hanging="357"/>
      </w:pPr>
      <w:r w:rsidRPr="00A47DDE">
        <w:t>Decisions are required; and</w:t>
      </w:r>
    </w:p>
    <w:p w14:paraId="17423EA9" w14:textId="1710B0CD" w:rsidR="004D1DF4" w:rsidRPr="004D1DF4" w:rsidRDefault="004D1DF4" w:rsidP="00B435F4">
      <w:pPr>
        <w:pStyle w:val="ListParagraph"/>
        <w:numPr>
          <w:ilvl w:val="0"/>
          <w:numId w:val="24"/>
        </w:numPr>
        <w:tabs>
          <w:tab w:val="left" w:pos="2268"/>
          <w:tab w:val="left" w:pos="5103"/>
        </w:tabs>
        <w:spacing w:after="100" w:afterAutospacing="1"/>
        <w:ind w:left="851" w:right="679"/>
        <w:contextualSpacing/>
      </w:pPr>
      <w:r w:rsidRPr="00A47DDE">
        <w:t>A guarantee that the work will be heard and acted upon.</w:t>
      </w:r>
    </w:p>
    <w:p w14:paraId="636A84ED" w14:textId="1F2C9A95" w:rsidR="00570C40" w:rsidRDefault="00570C40" w:rsidP="00353EDE">
      <w:pPr>
        <w:pStyle w:val="Heading1"/>
      </w:pPr>
      <w:bookmarkStart w:id="4" w:name="_Toc106196261"/>
      <w:r>
        <w:t>Governance</w:t>
      </w:r>
      <w:bookmarkEnd w:id="4"/>
    </w:p>
    <w:p w14:paraId="087A6665" w14:textId="2AEFD0C5" w:rsidR="003B51C6" w:rsidRDefault="00372732" w:rsidP="00244802">
      <w:r>
        <w:t xml:space="preserve">The </w:t>
      </w:r>
      <w:r w:rsidR="00570C40" w:rsidRPr="00570C40">
        <w:t xml:space="preserve">structure </w:t>
      </w:r>
      <w:r>
        <w:t xml:space="preserve">below </w:t>
      </w:r>
      <w:r w:rsidR="00570C40" w:rsidRPr="00570C40">
        <w:t xml:space="preserve">sets out the roles and responsibilities, reporting </w:t>
      </w:r>
      <w:r>
        <w:t>requirements</w:t>
      </w:r>
      <w:r w:rsidR="00570C40" w:rsidRPr="00570C40">
        <w:t>, relationships and authority of each inter</w:t>
      </w:r>
      <w:r>
        <w:t>-</w:t>
      </w:r>
      <w:r w:rsidR="00570C40" w:rsidRPr="00570C40">
        <w:t>dependent committee and working group</w:t>
      </w:r>
      <w:r w:rsidR="00570C40">
        <w:t>.</w:t>
      </w:r>
    </w:p>
    <w:p w14:paraId="3783FE77" w14:textId="77777777" w:rsidR="00570C40" w:rsidRDefault="00E34412" w:rsidP="004609AD">
      <w:pPr>
        <w:pStyle w:val="Heading2"/>
        <w:numPr>
          <w:ilvl w:val="1"/>
          <w:numId w:val="9"/>
        </w:numPr>
      </w:pPr>
      <w:bookmarkStart w:id="5" w:name="_Toc106196262"/>
      <w:r>
        <w:t xml:space="preserve">Role of the </w:t>
      </w:r>
      <w:r w:rsidR="004D1DF4">
        <w:t>NT Clinical Senate</w:t>
      </w:r>
      <w:bookmarkEnd w:id="5"/>
    </w:p>
    <w:p w14:paraId="5DC5DCA4" w14:textId="667C4815" w:rsidR="004D1DF4" w:rsidRPr="00A47DDE" w:rsidRDefault="004D1DF4" w:rsidP="004D1DF4">
      <w:pPr>
        <w:tabs>
          <w:tab w:val="left" w:pos="2268"/>
          <w:tab w:val="left" w:pos="5103"/>
          <w:tab w:val="right" w:pos="8789"/>
        </w:tabs>
        <w:ind w:right="57"/>
        <w:rPr>
          <w:rFonts w:eastAsia="Batang"/>
        </w:rPr>
      </w:pPr>
      <w:r w:rsidRPr="00A47DDE">
        <w:rPr>
          <w:rFonts w:eastAsia="Batang"/>
        </w:rPr>
        <w:t xml:space="preserve">The Senate provides expert clinical advice, information and/or recommendations to the Chief Executive in consideration of: </w:t>
      </w:r>
    </w:p>
    <w:p w14:paraId="0AAE6F60" w14:textId="2686DE96" w:rsidR="004D1DF4" w:rsidRPr="00A47DDE" w:rsidRDefault="004D1DF4" w:rsidP="00372732">
      <w:pPr>
        <w:pStyle w:val="ListParagraph"/>
        <w:numPr>
          <w:ilvl w:val="0"/>
          <w:numId w:val="22"/>
        </w:numPr>
        <w:tabs>
          <w:tab w:val="left" w:pos="2268"/>
          <w:tab w:val="left" w:pos="5103"/>
        </w:tabs>
        <w:ind w:left="850" w:right="679" w:hanging="425"/>
        <w:rPr>
          <w:rFonts w:eastAsia="Batang"/>
        </w:rPr>
      </w:pPr>
      <w:r w:rsidRPr="00A47DDE">
        <w:rPr>
          <w:rFonts w:eastAsia="Batang"/>
        </w:rPr>
        <w:t>NT Health’s clinical governance strategy, policies and their implementation</w:t>
      </w:r>
    </w:p>
    <w:p w14:paraId="60F369A6" w14:textId="4EB65B29" w:rsidR="004D1DF4" w:rsidRPr="00A47DDE" w:rsidRDefault="004D1DF4" w:rsidP="00372732">
      <w:pPr>
        <w:pStyle w:val="ListParagraph"/>
        <w:numPr>
          <w:ilvl w:val="0"/>
          <w:numId w:val="22"/>
        </w:numPr>
        <w:tabs>
          <w:tab w:val="left" w:pos="2268"/>
          <w:tab w:val="left" w:pos="5103"/>
        </w:tabs>
        <w:ind w:left="850" w:right="679" w:hanging="425"/>
        <w:rPr>
          <w:rFonts w:eastAsia="Batang" w:cs="ProximaNova-Semibold"/>
          <w:bCs/>
          <w:lang w:val="en-US" w:eastAsia="en-AU"/>
        </w:rPr>
      </w:pPr>
      <w:r w:rsidRPr="00A47DDE">
        <w:rPr>
          <w:rFonts w:eastAsia="Batang"/>
        </w:rPr>
        <w:t>NT Health’s clinical quality and patient safety programs, standards, guidelines and indicators and the implementation of these</w:t>
      </w:r>
    </w:p>
    <w:p w14:paraId="7528F2D9" w14:textId="77777777" w:rsidR="004D1DF4" w:rsidRPr="00A47DDE" w:rsidRDefault="004D1DF4" w:rsidP="00372732">
      <w:pPr>
        <w:pStyle w:val="ListParagraph"/>
        <w:numPr>
          <w:ilvl w:val="0"/>
          <w:numId w:val="22"/>
        </w:numPr>
        <w:tabs>
          <w:tab w:val="left" w:pos="2268"/>
          <w:tab w:val="left" w:pos="5103"/>
        </w:tabs>
        <w:ind w:left="850" w:right="679" w:hanging="425"/>
        <w:rPr>
          <w:rFonts w:eastAsia="Batang" w:cs="ProximaNova-Semibold"/>
          <w:bCs/>
          <w:lang w:val="en-US" w:eastAsia="en-AU"/>
        </w:rPr>
      </w:pPr>
      <w:r w:rsidRPr="00A47DDE">
        <w:rPr>
          <w:rFonts w:eastAsia="Batang" w:cs="ProximaNova-Semibold"/>
          <w:bCs/>
          <w:lang w:val="en-US" w:eastAsia="en-AU"/>
        </w:rPr>
        <w:t>Evidence-based strategies in relation to system integration and public health</w:t>
      </w:r>
    </w:p>
    <w:p w14:paraId="1936C486" w14:textId="48E636FA" w:rsidR="004D1DF4" w:rsidRPr="003B4ED9" w:rsidRDefault="004D1DF4" w:rsidP="003B4ED9">
      <w:pPr>
        <w:pStyle w:val="ListParagraph"/>
        <w:numPr>
          <w:ilvl w:val="0"/>
          <w:numId w:val="22"/>
        </w:numPr>
        <w:tabs>
          <w:tab w:val="left" w:pos="2268"/>
          <w:tab w:val="left" w:pos="5103"/>
        </w:tabs>
        <w:spacing w:after="100" w:afterAutospacing="1"/>
        <w:ind w:left="851" w:right="679" w:hanging="425"/>
        <w:contextualSpacing/>
        <w:rPr>
          <w:rFonts w:eastAsia="Batang"/>
        </w:rPr>
      </w:pPr>
      <w:r w:rsidRPr="00A47DDE">
        <w:rPr>
          <w:rFonts w:eastAsia="Batang" w:cs="ProximaNova-Semibold"/>
          <w:bCs/>
          <w:lang w:val="en-US" w:eastAsia="en-AU"/>
        </w:rPr>
        <w:t xml:space="preserve">Evidence-based strategies in relation to the management of </w:t>
      </w:r>
      <w:r w:rsidR="002A638E">
        <w:rPr>
          <w:rFonts w:eastAsia="Batang" w:cs="ProximaNova-Semibold"/>
          <w:bCs/>
          <w:lang w:val="en-US" w:eastAsia="en-AU"/>
        </w:rPr>
        <w:t>patients</w:t>
      </w:r>
      <w:r w:rsidRPr="00A47DDE">
        <w:rPr>
          <w:rFonts w:eastAsia="Batang" w:cs="ProximaNova-Semibold"/>
          <w:bCs/>
          <w:lang w:val="en-US" w:eastAsia="en-AU"/>
        </w:rPr>
        <w:t xml:space="preserve"> with complex or chronic conditions</w:t>
      </w:r>
      <w:r w:rsidR="00972E0B">
        <w:rPr>
          <w:rFonts w:eastAsia="Batang" w:cs="ProximaNova-Semibold"/>
          <w:bCs/>
          <w:lang w:val="en-US" w:eastAsia="en-AU"/>
        </w:rPr>
        <w:t>,</w:t>
      </w:r>
      <w:r w:rsidRPr="00A47DDE">
        <w:rPr>
          <w:rFonts w:eastAsia="Batang" w:cs="ProximaNova-Semibold"/>
          <w:bCs/>
          <w:lang w:val="en-US" w:eastAsia="en-AU"/>
        </w:rPr>
        <w:t xml:space="preserve"> </w:t>
      </w:r>
      <w:r w:rsidR="00972E0B">
        <w:rPr>
          <w:rFonts w:eastAsia="Batang"/>
        </w:rPr>
        <w:t>c</w:t>
      </w:r>
      <w:r w:rsidRPr="003B4ED9">
        <w:rPr>
          <w:rFonts w:eastAsia="Batang"/>
        </w:rPr>
        <w:t>linical quality and patient safety issues regarding the public health system, including access to health services by people living in remote communities</w:t>
      </w:r>
      <w:r w:rsidR="00372732" w:rsidRPr="003B4ED9">
        <w:rPr>
          <w:rFonts w:eastAsia="Batang"/>
        </w:rPr>
        <w:t>.</w:t>
      </w:r>
    </w:p>
    <w:p w14:paraId="651E0AD7" w14:textId="77777777" w:rsidR="00570C40" w:rsidRDefault="00570C40" w:rsidP="00353EDE">
      <w:pPr>
        <w:pStyle w:val="Heading1"/>
      </w:pPr>
      <w:bookmarkStart w:id="6" w:name="_Toc106195638"/>
      <w:bookmarkStart w:id="7" w:name="_Toc106196263"/>
      <w:bookmarkEnd w:id="6"/>
      <w:r>
        <w:t>Membership</w:t>
      </w:r>
      <w:bookmarkEnd w:id="7"/>
    </w:p>
    <w:p w14:paraId="442EC52E" w14:textId="4FC77471" w:rsidR="00017DF0" w:rsidRDefault="004D1DF4" w:rsidP="004D1DF4">
      <w:pPr>
        <w:tabs>
          <w:tab w:val="left" w:pos="2268"/>
          <w:tab w:val="left" w:pos="5103"/>
          <w:tab w:val="right" w:pos="8789"/>
        </w:tabs>
        <w:spacing w:after="100" w:afterAutospacing="1"/>
        <w:ind w:right="57"/>
      </w:pPr>
      <w:bookmarkStart w:id="8" w:name="_Toc296257843"/>
      <w:bookmarkStart w:id="9" w:name="_Toc296258093"/>
      <w:bookmarkStart w:id="10" w:name="_Toc296258189"/>
      <w:bookmarkStart w:id="11" w:name="_Toc296258542"/>
      <w:bookmarkStart w:id="12" w:name="_Toc427670849"/>
      <w:r w:rsidRPr="00A47DDE">
        <w:t xml:space="preserve">The Senate </w:t>
      </w:r>
      <w:r w:rsidR="00017DF0">
        <w:t xml:space="preserve">is comprised of </w:t>
      </w:r>
      <w:r w:rsidRPr="00A47DDE">
        <w:t xml:space="preserve">up to 45 non-representational multi-disciplinary </w:t>
      </w:r>
      <w:r w:rsidR="00740D4E">
        <w:t>c</w:t>
      </w:r>
      <w:r w:rsidRPr="00A47DDE">
        <w:t xml:space="preserve">linicians, </w:t>
      </w:r>
      <w:r w:rsidR="00740D4E">
        <w:t>c</w:t>
      </w:r>
      <w:r w:rsidRPr="00A47DDE">
        <w:t>onsumers and NT</w:t>
      </w:r>
      <w:r w:rsidR="004609AD">
        <w:t xml:space="preserve"> </w:t>
      </w:r>
      <w:r w:rsidRPr="00A47DDE">
        <w:t xml:space="preserve">Health </w:t>
      </w:r>
      <w:r w:rsidR="00740D4E">
        <w:t>p</w:t>
      </w:r>
      <w:r w:rsidRPr="00A47DDE">
        <w:t>rofessional</w:t>
      </w:r>
      <w:r w:rsidR="00540EB9">
        <w:t>s who</w:t>
      </w:r>
      <w:r w:rsidRPr="00A47DDE">
        <w:t xml:space="preserve"> lead with appropriate skills and experience in clinical quality and patient safety systems and processes from across the broader NT health system</w:t>
      </w:r>
      <w:r w:rsidR="00540EB9">
        <w:t>,</w:t>
      </w:r>
      <w:r w:rsidRPr="00A47DDE">
        <w:t xml:space="preserve"> to ensure there is both an internal and external perspective in improving quality and safety of health care delivery.</w:t>
      </w:r>
      <w:r w:rsidR="00017DF0">
        <w:t xml:space="preserve"> </w:t>
      </w:r>
    </w:p>
    <w:p w14:paraId="65B13BF4" w14:textId="3014053D" w:rsidR="004F7258" w:rsidRPr="00A47DDE" w:rsidRDefault="004F7258" w:rsidP="004F7258">
      <w:pPr>
        <w:autoSpaceDE w:val="0"/>
        <w:autoSpaceDN w:val="0"/>
        <w:adjustRightInd w:val="0"/>
        <w:spacing w:after="100" w:afterAutospacing="1"/>
        <w:rPr>
          <w:rFonts w:eastAsiaTheme="minorHAnsi" w:cs="Vaud-Bold"/>
          <w:bCs/>
        </w:rPr>
      </w:pPr>
      <w:r w:rsidRPr="00A47DDE">
        <w:rPr>
          <w:rFonts w:eastAsiaTheme="minorHAnsi" w:cs="Arial"/>
        </w:rPr>
        <w:t xml:space="preserve">The </w:t>
      </w:r>
      <w:r w:rsidRPr="00A47DDE">
        <w:t xml:space="preserve">Senate </w:t>
      </w:r>
      <w:r w:rsidRPr="00A47DDE">
        <w:rPr>
          <w:rFonts w:eastAsiaTheme="minorHAnsi" w:cs="Arial"/>
        </w:rPr>
        <w:t xml:space="preserve">comprises a range of </w:t>
      </w:r>
      <w:r w:rsidR="00740D4E">
        <w:rPr>
          <w:rFonts w:eastAsiaTheme="minorHAnsi" w:cs="Arial"/>
        </w:rPr>
        <w:t>c</w:t>
      </w:r>
      <w:r w:rsidRPr="00A47DDE">
        <w:rPr>
          <w:rFonts w:eastAsiaTheme="minorHAnsi" w:cs="Arial"/>
        </w:rPr>
        <w:t xml:space="preserve">linicians from across the </w:t>
      </w:r>
      <w:r>
        <w:rPr>
          <w:rFonts w:eastAsiaTheme="minorHAnsi" w:cs="Arial"/>
        </w:rPr>
        <w:t xml:space="preserve">Northern Territory </w:t>
      </w:r>
      <w:r w:rsidRPr="00A47DDE">
        <w:rPr>
          <w:rFonts w:eastAsiaTheme="minorHAnsi" w:cs="Arial"/>
        </w:rPr>
        <w:t xml:space="preserve">covering acute health, primary care, non-government organisations, </w:t>
      </w:r>
      <w:r w:rsidR="00740D4E">
        <w:rPr>
          <w:rFonts w:eastAsiaTheme="minorHAnsi" w:cs="Arial"/>
        </w:rPr>
        <w:t>A</w:t>
      </w:r>
      <w:r w:rsidRPr="00A47DDE">
        <w:rPr>
          <w:rFonts w:eastAsiaTheme="minorHAnsi" w:cs="Arial"/>
        </w:rPr>
        <w:t xml:space="preserve">boriginal </w:t>
      </w:r>
      <w:r w:rsidR="00740D4E">
        <w:rPr>
          <w:rFonts w:eastAsiaTheme="minorHAnsi" w:cs="Arial"/>
        </w:rPr>
        <w:t>C</w:t>
      </w:r>
      <w:r w:rsidRPr="00A47DDE">
        <w:rPr>
          <w:rFonts w:eastAsiaTheme="minorHAnsi" w:cs="Arial"/>
        </w:rPr>
        <w:t xml:space="preserve">ommunity </w:t>
      </w:r>
      <w:r w:rsidR="00740D4E">
        <w:rPr>
          <w:rFonts w:eastAsiaTheme="minorHAnsi" w:cs="Arial"/>
        </w:rPr>
        <w:t>C</w:t>
      </w:r>
      <w:r w:rsidRPr="00A47DDE">
        <w:rPr>
          <w:rFonts w:eastAsiaTheme="minorHAnsi" w:cs="Arial"/>
        </w:rPr>
        <w:t xml:space="preserve">ontrolled </w:t>
      </w:r>
      <w:r w:rsidR="00740D4E">
        <w:rPr>
          <w:rFonts w:eastAsiaTheme="minorHAnsi" w:cs="Arial"/>
        </w:rPr>
        <w:t>H</w:t>
      </w:r>
      <w:r w:rsidRPr="00A47DDE">
        <w:rPr>
          <w:rFonts w:eastAsiaTheme="minorHAnsi" w:cs="Arial"/>
        </w:rPr>
        <w:t xml:space="preserve">ealth </w:t>
      </w:r>
      <w:r w:rsidR="00740D4E">
        <w:rPr>
          <w:rFonts w:eastAsiaTheme="minorHAnsi" w:cs="Arial"/>
        </w:rPr>
        <w:t>O</w:t>
      </w:r>
      <w:r w:rsidRPr="00A47DDE">
        <w:rPr>
          <w:rFonts w:eastAsiaTheme="minorHAnsi" w:cs="Arial"/>
        </w:rPr>
        <w:t>rganisations</w:t>
      </w:r>
      <w:r w:rsidR="00740D4E">
        <w:rPr>
          <w:rFonts w:eastAsiaTheme="minorHAnsi" w:cs="Arial"/>
        </w:rPr>
        <w:t xml:space="preserve"> (ACCHOs)</w:t>
      </w:r>
      <w:r w:rsidRPr="00A47DDE">
        <w:rPr>
          <w:rFonts w:eastAsiaTheme="minorHAnsi" w:cs="Arial"/>
        </w:rPr>
        <w:t xml:space="preserve"> and research/academic institutions, with a focus on </w:t>
      </w:r>
      <w:r>
        <w:rPr>
          <w:rFonts w:eastAsiaTheme="minorHAnsi" w:cs="Vaud-Bold"/>
          <w:bCs/>
        </w:rPr>
        <w:t xml:space="preserve">emerging clinical leaders. </w:t>
      </w:r>
      <w:r w:rsidRPr="00A47DDE">
        <w:rPr>
          <w:rFonts w:eastAsiaTheme="minorHAnsi" w:cs="Vaud-Bold"/>
          <w:bCs/>
        </w:rPr>
        <w:t xml:space="preserve">All clinical members are expected to be experienced health professionals, involved in regular clinical practice and held in high regard by their colleagues.  </w:t>
      </w:r>
    </w:p>
    <w:p w14:paraId="2F8AC60D" w14:textId="42196D5F" w:rsidR="00017DF0" w:rsidRDefault="00017DF0" w:rsidP="004F7258">
      <w:pPr>
        <w:tabs>
          <w:tab w:val="left" w:pos="2268"/>
          <w:tab w:val="left" w:pos="5103"/>
        </w:tabs>
        <w:spacing w:after="100" w:afterAutospacing="1"/>
        <w:ind w:right="57"/>
      </w:pPr>
      <w:r w:rsidRPr="00A47DDE">
        <w:lastRenderedPageBreak/>
        <w:t>Clinician membership is reflective of all aspects of clinical care in NT and population health needs. Members are apolitical and non-representational, using a flat-line membership structure, where members have equal power in decision-making and engage freely in discussion</w:t>
      </w:r>
      <w:r>
        <w:t>.</w:t>
      </w:r>
    </w:p>
    <w:p w14:paraId="354A22DA" w14:textId="6122882A" w:rsidR="00805501" w:rsidRPr="00A47DDE" w:rsidRDefault="00805501" w:rsidP="004D1DF4">
      <w:pPr>
        <w:tabs>
          <w:tab w:val="left" w:pos="2268"/>
          <w:tab w:val="left" w:pos="5103"/>
          <w:tab w:val="right" w:pos="8789"/>
        </w:tabs>
        <w:spacing w:after="100" w:afterAutospacing="1"/>
        <w:ind w:right="57"/>
      </w:pPr>
      <w:r w:rsidRPr="00BE6614">
        <w:t>Member</w:t>
      </w:r>
      <w:r w:rsidR="00017DF0">
        <w:t xml:space="preserve">ship is drawn from across the NT. Their primary </w:t>
      </w:r>
      <w:r w:rsidRPr="00BE6614">
        <w:t xml:space="preserve">place of work and residence </w:t>
      </w:r>
      <w:r w:rsidR="00017DF0">
        <w:t xml:space="preserve">must be the </w:t>
      </w:r>
      <w:r w:rsidRPr="00BE6614">
        <w:t>N</w:t>
      </w:r>
      <w:r w:rsidR="00017DF0">
        <w:t>orthern Territory; an approach aimed at</w:t>
      </w:r>
      <w:r w:rsidRPr="00BE6614">
        <w:t xml:space="preserve"> develop</w:t>
      </w:r>
      <w:r w:rsidR="00017DF0">
        <w:t>ing</w:t>
      </w:r>
      <w:r w:rsidRPr="00BE6614">
        <w:t xml:space="preserve"> NT </w:t>
      </w:r>
      <w:r w:rsidR="00740D4E">
        <w:t>c</w:t>
      </w:r>
      <w:r w:rsidRPr="00BE6614">
        <w:t>linicians</w:t>
      </w:r>
      <w:r w:rsidR="00017DF0">
        <w:t>,</w:t>
      </w:r>
      <w:r w:rsidRPr="00BE6614">
        <w:t xml:space="preserve"> and produc</w:t>
      </w:r>
      <w:r w:rsidR="00017DF0">
        <w:t>ing</w:t>
      </w:r>
      <w:r w:rsidRPr="00BE6614">
        <w:t xml:space="preserve"> recommendations f</w:t>
      </w:r>
      <w:r w:rsidR="00017DF0">
        <w:t>or, and f</w:t>
      </w:r>
      <w:r w:rsidRPr="00BE6614">
        <w:t xml:space="preserve">rom the Territory. </w:t>
      </w:r>
      <w:r w:rsidR="00017DF0">
        <w:t>Members who</w:t>
      </w:r>
      <w:r w:rsidR="00A8582B" w:rsidRPr="00BE6614">
        <w:t xml:space="preserve"> no longer ha</w:t>
      </w:r>
      <w:r w:rsidR="00017DF0">
        <w:t>ve</w:t>
      </w:r>
      <w:r w:rsidR="00A8582B" w:rsidRPr="00BE6614">
        <w:t xml:space="preserve"> their primary residence</w:t>
      </w:r>
      <w:r w:rsidR="00017DF0">
        <w:t xml:space="preserve"> in the NT</w:t>
      </w:r>
      <w:r w:rsidR="00A8582B" w:rsidRPr="00BE6614">
        <w:t>,</w:t>
      </w:r>
      <w:r w:rsidR="007B5F8C" w:rsidRPr="00BE6614">
        <w:t xml:space="preserve"> and/</w:t>
      </w:r>
      <w:r w:rsidR="00A8582B" w:rsidRPr="00BE6614">
        <w:t>or no longer ha</w:t>
      </w:r>
      <w:r w:rsidR="00017DF0">
        <w:t>ve</w:t>
      </w:r>
      <w:r w:rsidR="00A8582B" w:rsidRPr="00BE6614">
        <w:t xml:space="preserve"> their primary employment in the </w:t>
      </w:r>
      <w:r w:rsidR="00017DF0">
        <w:t>NT,</w:t>
      </w:r>
      <w:r w:rsidR="00A8582B" w:rsidRPr="00BE6614">
        <w:t xml:space="preserve"> will be required to </w:t>
      </w:r>
      <w:r w:rsidR="007B5F8C" w:rsidRPr="00BE6614">
        <w:t>relinquish their membership with the Senate</w:t>
      </w:r>
      <w:r w:rsidR="00A8582B" w:rsidRPr="00BE6614">
        <w:t>.</w:t>
      </w:r>
    </w:p>
    <w:p w14:paraId="6E58B7D5" w14:textId="2B91254A" w:rsidR="004D1DF4" w:rsidRPr="00A47DDE" w:rsidRDefault="005A56FF" w:rsidP="004D1DF4">
      <w:pPr>
        <w:autoSpaceDE w:val="0"/>
        <w:autoSpaceDN w:val="0"/>
        <w:adjustRightInd w:val="0"/>
      </w:pPr>
      <w:r>
        <w:t>There are eleven</w:t>
      </w:r>
      <w:r w:rsidR="004D1DF4" w:rsidRPr="00A47DDE">
        <w:t xml:space="preserve"> (1</w:t>
      </w:r>
      <w:r>
        <w:t>1</w:t>
      </w:r>
      <w:r w:rsidR="004D1DF4" w:rsidRPr="00A47DDE">
        <w:t>) NT Health appointments to the Senate. These are:</w:t>
      </w:r>
    </w:p>
    <w:p w14:paraId="7A84C9E7" w14:textId="55CF07C7" w:rsidR="00740D4E" w:rsidRPr="00A47DDE" w:rsidRDefault="00740D4E" w:rsidP="00740D4E">
      <w:pPr>
        <w:pStyle w:val="ListParagraph"/>
        <w:numPr>
          <w:ilvl w:val="0"/>
          <w:numId w:val="26"/>
        </w:numPr>
        <w:autoSpaceDE w:val="0"/>
        <w:autoSpaceDN w:val="0"/>
        <w:adjustRightInd w:val="0"/>
        <w:ind w:left="850" w:right="1246" w:hanging="357"/>
      </w:pPr>
      <w:r>
        <w:t xml:space="preserve">Chief Aboriginal Health Engagement Officer, </w:t>
      </w:r>
      <w:r w:rsidR="00972E0B">
        <w:t>DoH</w:t>
      </w:r>
    </w:p>
    <w:p w14:paraId="534296AE" w14:textId="61F80479" w:rsidR="00740D4E" w:rsidRPr="00A47DDE" w:rsidRDefault="00740D4E" w:rsidP="00540EB9">
      <w:pPr>
        <w:pStyle w:val="ListParagraph"/>
        <w:numPr>
          <w:ilvl w:val="0"/>
          <w:numId w:val="26"/>
        </w:numPr>
        <w:autoSpaceDE w:val="0"/>
        <w:autoSpaceDN w:val="0"/>
        <w:adjustRightInd w:val="0"/>
        <w:ind w:left="850" w:right="679" w:hanging="357"/>
      </w:pPr>
      <w:r>
        <w:t>Chief</w:t>
      </w:r>
      <w:r w:rsidRPr="00A47DDE">
        <w:t xml:space="preserve"> Aboriginal Health Practitioner, D</w:t>
      </w:r>
      <w:r w:rsidR="00972E0B">
        <w:t>o</w:t>
      </w:r>
      <w:r w:rsidRPr="00A47DDE">
        <w:t>H</w:t>
      </w:r>
    </w:p>
    <w:p w14:paraId="3C9B837A" w14:textId="162AD0D3" w:rsidR="00740D4E" w:rsidRPr="00A47DDE" w:rsidRDefault="00740D4E" w:rsidP="00540EB9">
      <w:pPr>
        <w:pStyle w:val="ListParagraph"/>
        <w:numPr>
          <w:ilvl w:val="0"/>
          <w:numId w:val="26"/>
        </w:numPr>
        <w:autoSpaceDE w:val="0"/>
        <w:autoSpaceDN w:val="0"/>
        <w:adjustRightInd w:val="0"/>
        <w:ind w:left="850" w:right="679" w:hanging="357"/>
      </w:pPr>
      <w:r>
        <w:t>Chief</w:t>
      </w:r>
      <w:r w:rsidRPr="00A47DDE">
        <w:t xml:space="preserve"> Allied Health </w:t>
      </w:r>
      <w:r>
        <w:t>Officer</w:t>
      </w:r>
      <w:r w:rsidRPr="00A47DDE">
        <w:t>, D</w:t>
      </w:r>
      <w:r w:rsidR="00972E0B">
        <w:t>o</w:t>
      </w:r>
      <w:r w:rsidRPr="00A47DDE">
        <w:t>H</w:t>
      </w:r>
    </w:p>
    <w:p w14:paraId="350FB93C" w14:textId="4DBBBA41" w:rsidR="00740D4E" w:rsidRDefault="00740D4E" w:rsidP="00740D4E">
      <w:pPr>
        <w:pStyle w:val="ListParagraph"/>
        <w:numPr>
          <w:ilvl w:val="0"/>
          <w:numId w:val="26"/>
        </w:numPr>
        <w:autoSpaceDE w:val="0"/>
        <w:autoSpaceDN w:val="0"/>
        <w:adjustRightInd w:val="0"/>
        <w:ind w:left="850" w:right="1246" w:hanging="357"/>
      </w:pPr>
      <w:r>
        <w:t>Chief</w:t>
      </w:r>
      <w:r w:rsidRPr="00A47DDE">
        <w:t xml:space="preserve"> Dental </w:t>
      </w:r>
      <w:r>
        <w:t>Officer</w:t>
      </w:r>
      <w:r w:rsidRPr="00A47DDE">
        <w:t>, D</w:t>
      </w:r>
      <w:r w:rsidR="00972E0B">
        <w:t>o</w:t>
      </w:r>
      <w:r w:rsidRPr="00A47DDE">
        <w:t>H</w:t>
      </w:r>
    </w:p>
    <w:p w14:paraId="37420B70" w14:textId="15646CB0" w:rsidR="00740D4E" w:rsidRPr="00A47DDE" w:rsidRDefault="00740D4E" w:rsidP="00540EB9">
      <w:pPr>
        <w:pStyle w:val="ListParagraph"/>
        <w:numPr>
          <w:ilvl w:val="0"/>
          <w:numId w:val="26"/>
        </w:numPr>
        <w:autoSpaceDE w:val="0"/>
        <w:autoSpaceDN w:val="0"/>
        <w:adjustRightInd w:val="0"/>
        <w:ind w:left="850" w:right="679" w:hanging="357"/>
      </w:pPr>
      <w:r w:rsidRPr="00A47DDE">
        <w:t>Chief Health Officer, D</w:t>
      </w:r>
      <w:r w:rsidR="00972E0B">
        <w:t>o</w:t>
      </w:r>
      <w:r w:rsidRPr="00A47DDE">
        <w:t>H</w:t>
      </w:r>
    </w:p>
    <w:p w14:paraId="7BBD9CF4" w14:textId="1875F232" w:rsidR="00740D4E" w:rsidRPr="00A47DDE" w:rsidRDefault="00740D4E" w:rsidP="00540EB9">
      <w:pPr>
        <w:pStyle w:val="ListParagraph"/>
        <w:numPr>
          <w:ilvl w:val="0"/>
          <w:numId w:val="26"/>
        </w:numPr>
        <w:autoSpaceDE w:val="0"/>
        <w:autoSpaceDN w:val="0"/>
        <w:adjustRightInd w:val="0"/>
        <w:ind w:left="850" w:right="679" w:hanging="357"/>
      </w:pPr>
      <w:r>
        <w:t>Chief Medical Officer, D</w:t>
      </w:r>
      <w:r w:rsidR="00972E0B">
        <w:t>o</w:t>
      </w:r>
      <w:r>
        <w:t>H</w:t>
      </w:r>
    </w:p>
    <w:p w14:paraId="343B319B" w14:textId="64ABAAC4" w:rsidR="00740D4E" w:rsidRPr="00A47DDE" w:rsidRDefault="00740D4E" w:rsidP="00540EB9">
      <w:pPr>
        <w:pStyle w:val="ListParagraph"/>
        <w:numPr>
          <w:ilvl w:val="0"/>
          <w:numId w:val="26"/>
        </w:numPr>
        <w:autoSpaceDE w:val="0"/>
        <w:autoSpaceDN w:val="0"/>
        <w:adjustRightInd w:val="0"/>
        <w:ind w:left="850" w:right="679" w:hanging="357"/>
      </w:pPr>
      <w:r w:rsidRPr="00A47DDE">
        <w:t>Chief Nurse and Midwifery Officer, D</w:t>
      </w:r>
      <w:r w:rsidR="00972E0B">
        <w:t>o</w:t>
      </w:r>
      <w:r w:rsidRPr="00A47DDE">
        <w:t>H</w:t>
      </w:r>
    </w:p>
    <w:p w14:paraId="5DEACF9D" w14:textId="11B16C76" w:rsidR="00740D4E" w:rsidRDefault="00740D4E" w:rsidP="00540EB9">
      <w:pPr>
        <w:pStyle w:val="ListParagraph"/>
        <w:numPr>
          <w:ilvl w:val="0"/>
          <w:numId w:val="26"/>
        </w:numPr>
        <w:autoSpaceDE w:val="0"/>
        <w:autoSpaceDN w:val="0"/>
        <w:adjustRightInd w:val="0"/>
        <w:ind w:left="850" w:right="679" w:hanging="357"/>
      </w:pPr>
      <w:r w:rsidRPr="00A47DDE">
        <w:t>Chief Psychiatrist, D</w:t>
      </w:r>
      <w:r w:rsidR="00972E0B">
        <w:t>o</w:t>
      </w:r>
      <w:r w:rsidRPr="00A47DDE">
        <w:t>H</w:t>
      </w:r>
    </w:p>
    <w:p w14:paraId="142B9EBE" w14:textId="77777777" w:rsidR="00740D4E" w:rsidRPr="00A47DDE" w:rsidRDefault="00740D4E" w:rsidP="00740D4E">
      <w:pPr>
        <w:pStyle w:val="ListParagraph"/>
        <w:numPr>
          <w:ilvl w:val="0"/>
          <w:numId w:val="26"/>
        </w:numPr>
        <w:autoSpaceDE w:val="0"/>
        <w:autoSpaceDN w:val="0"/>
        <w:adjustRightInd w:val="0"/>
        <w:ind w:left="850" w:right="1246" w:hanging="357"/>
      </w:pPr>
      <w:r w:rsidRPr="00A47DDE">
        <w:t xml:space="preserve">Executive Director Medicines Management  </w:t>
      </w:r>
    </w:p>
    <w:p w14:paraId="6875974B" w14:textId="77777777" w:rsidR="00740D4E" w:rsidRPr="00A47DDE" w:rsidRDefault="00740D4E" w:rsidP="00540EB9">
      <w:pPr>
        <w:pStyle w:val="ListParagraph"/>
        <w:numPr>
          <w:ilvl w:val="0"/>
          <w:numId w:val="26"/>
        </w:numPr>
        <w:autoSpaceDE w:val="0"/>
        <w:autoSpaceDN w:val="0"/>
        <w:adjustRightInd w:val="0"/>
        <w:ind w:left="850" w:right="1246" w:hanging="357"/>
      </w:pPr>
      <w:r w:rsidRPr="00A47DDE">
        <w:t xml:space="preserve">Executive Directors of Medical Services, </w:t>
      </w:r>
      <w:r>
        <w:t>Top End and Central Australia Regions</w:t>
      </w:r>
    </w:p>
    <w:p w14:paraId="023A01E6" w14:textId="13C2DD7B" w:rsidR="00740D4E" w:rsidRPr="00A47DDE" w:rsidRDefault="00740D4E" w:rsidP="00972E0B">
      <w:pPr>
        <w:pStyle w:val="ListParagraph"/>
        <w:numPr>
          <w:ilvl w:val="0"/>
          <w:numId w:val="26"/>
        </w:numPr>
        <w:autoSpaceDE w:val="0"/>
        <w:autoSpaceDN w:val="0"/>
        <w:adjustRightInd w:val="0"/>
        <w:spacing w:after="240"/>
        <w:ind w:left="850" w:right="680" w:hanging="357"/>
      </w:pPr>
      <w:r w:rsidRPr="00A47DDE">
        <w:t>Senior Director Clinical Quality and Patient Safety, D</w:t>
      </w:r>
      <w:r w:rsidR="00972E0B">
        <w:t>o</w:t>
      </w:r>
      <w:r w:rsidRPr="00A47DDE">
        <w:t>H</w:t>
      </w:r>
    </w:p>
    <w:p w14:paraId="241760C5" w14:textId="04CEA634" w:rsidR="004D1DF4" w:rsidRDefault="004D1DF4" w:rsidP="00972E0B">
      <w:pPr>
        <w:autoSpaceDE w:val="0"/>
        <w:autoSpaceDN w:val="0"/>
        <w:adjustRightInd w:val="0"/>
        <w:spacing w:before="120" w:after="100" w:afterAutospacing="1"/>
        <w:rPr>
          <w:rFonts w:eastAsiaTheme="minorHAnsi" w:cs="Vaud-Bold"/>
          <w:bCs/>
        </w:rPr>
      </w:pPr>
      <w:r w:rsidRPr="00A47DDE">
        <w:rPr>
          <w:rFonts w:eastAsiaTheme="minorHAnsi" w:cs="Vaud-Bold"/>
          <w:bCs/>
        </w:rPr>
        <w:t>The Chair</w:t>
      </w:r>
      <w:r w:rsidR="00017DF0">
        <w:rPr>
          <w:rFonts w:eastAsiaTheme="minorHAnsi" w:cs="Vaud-Bold"/>
          <w:bCs/>
        </w:rPr>
        <w:t xml:space="preserve"> </w:t>
      </w:r>
      <w:r w:rsidR="00004874">
        <w:rPr>
          <w:rFonts w:eastAsiaTheme="minorHAnsi" w:cs="Vaud-Bold"/>
          <w:bCs/>
        </w:rPr>
        <w:t>of the NT</w:t>
      </w:r>
      <w:r w:rsidR="00017DF0">
        <w:rPr>
          <w:rFonts w:eastAsiaTheme="minorHAnsi" w:cs="Vaud-Bold"/>
          <w:bCs/>
        </w:rPr>
        <w:t xml:space="preserve"> </w:t>
      </w:r>
      <w:r w:rsidRPr="00A47DDE">
        <w:rPr>
          <w:rFonts w:eastAsiaTheme="minorHAnsi" w:cs="Vaud-Bold"/>
          <w:bCs/>
        </w:rPr>
        <w:t>Health</w:t>
      </w:r>
      <w:r w:rsidR="00004874">
        <w:rPr>
          <w:rFonts w:eastAsiaTheme="minorHAnsi" w:cs="Vaud-Bold"/>
          <w:bCs/>
        </w:rPr>
        <w:t>, Health</w:t>
      </w:r>
      <w:r w:rsidRPr="00A47DDE">
        <w:rPr>
          <w:rFonts w:eastAsiaTheme="minorHAnsi" w:cs="Vaud-Bold"/>
          <w:bCs/>
        </w:rPr>
        <w:t xml:space="preserve"> Advisory Committee</w:t>
      </w:r>
      <w:r w:rsidR="00004874">
        <w:rPr>
          <w:rFonts w:eastAsiaTheme="minorHAnsi" w:cs="Vaud-Bold"/>
          <w:bCs/>
        </w:rPr>
        <w:t xml:space="preserve"> is</w:t>
      </w:r>
      <w:r w:rsidRPr="00A47DDE">
        <w:rPr>
          <w:rFonts w:eastAsiaTheme="minorHAnsi" w:cs="Vaud-Bold"/>
          <w:bCs/>
        </w:rPr>
        <w:t xml:space="preserve"> nominated as the </w:t>
      </w:r>
      <w:r w:rsidR="00740D4E">
        <w:rPr>
          <w:rFonts w:eastAsiaTheme="minorHAnsi" w:cs="Vaud-Bold"/>
          <w:bCs/>
        </w:rPr>
        <w:t>c</w:t>
      </w:r>
      <w:r w:rsidRPr="00A47DDE">
        <w:rPr>
          <w:rFonts w:eastAsiaTheme="minorHAnsi" w:cs="Vaud-Bold"/>
          <w:bCs/>
        </w:rPr>
        <w:t xml:space="preserve">onsumer member of the Senate. </w:t>
      </w:r>
      <w:r w:rsidR="00004874">
        <w:rPr>
          <w:rFonts w:eastAsiaTheme="minorHAnsi" w:cs="Vaud-Bold"/>
          <w:bCs/>
        </w:rPr>
        <w:t>This position is</w:t>
      </w:r>
      <w:r w:rsidRPr="00A47DDE">
        <w:rPr>
          <w:rFonts w:eastAsiaTheme="minorHAnsi" w:cs="Vaud-Bold"/>
          <w:bCs/>
        </w:rPr>
        <w:t xml:space="preserve"> experienced in engaging and consulting with the community in areas of health policy and will require an interest in improving quality of health care.</w:t>
      </w:r>
    </w:p>
    <w:p w14:paraId="7F52CE6F" w14:textId="06CABE6F" w:rsidR="00C5204F" w:rsidRPr="00A47DDE" w:rsidRDefault="00C5204F" w:rsidP="00C5204F">
      <w:pPr>
        <w:autoSpaceDE w:val="0"/>
        <w:autoSpaceDN w:val="0"/>
        <w:adjustRightInd w:val="0"/>
        <w:spacing w:after="100" w:afterAutospacing="1"/>
        <w:rPr>
          <w:rFonts w:eastAsiaTheme="minorHAnsi" w:cs="Arial"/>
        </w:rPr>
      </w:pPr>
      <w:r>
        <w:t xml:space="preserve">The Chief Executive appoints NT Clinical Senate members. </w:t>
      </w:r>
      <w:r w:rsidRPr="00A47DDE">
        <w:rPr>
          <w:rFonts w:eastAsiaTheme="minorHAnsi" w:cs="Arial"/>
        </w:rPr>
        <w:t xml:space="preserve">Clinician </w:t>
      </w:r>
      <w:r w:rsidR="00740D4E">
        <w:rPr>
          <w:rFonts w:eastAsiaTheme="minorHAnsi" w:cs="Arial"/>
        </w:rPr>
        <w:t>m</w:t>
      </w:r>
      <w:r w:rsidRPr="00A47DDE">
        <w:rPr>
          <w:rFonts w:eastAsiaTheme="minorHAnsi" w:cs="Arial"/>
        </w:rPr>
        <w:t xml:space="preserve">embers are selected in alignment with a skills and location matrix approved by the Chief Executive. </w:t>
      </w:r>
    </w:p>
    <w:p w14:paraId="6C25F022" w14:textId="2AF85BE0" w:rsidR="00C5204F" w:rsidRDefault="00C5204F" w:rsidP="00C5204F">
      <w:pPr>
        <w:tabs>
          <w:tab w:val="left" w:pos="2268"/>
          <w:tab w:val="left" w:pos="5103"/>
          <w:tab w:val="right" w:pos="8789"/>
        </w:tabs>
        <w:spacing w:after="100" w:afterAutospacing="1"/>
        <w:ind w:right="57"/>
      </w:pPr>
      <w:r>
        <w:t xml:space="preserve">The term of appointment for members is </w:t>
      </w:r>
      <w:r w:rsidR="00740D4E">
        <w:t>three</w:t>
      </w:r>
      <w:r w:rsidRPr="00A47DDE">
        <w:t xml:space="preserve"> years</w:t>
      </w:r>
      <w:r>
        <w:t xml:space="preserve">. </w:t>
      </w:r>
      <w:r w:rsidRPr="00A47DDE">
        <w:t>No member serves more than two consecutive terms.</w:t>
      </w:r>
      <w:r>
        <w:t xml:space="preserve"> </w:t>
      </w:r>
    </w:p>
    <w:p w14:paraId="7533B3C1" w14:textId="77777777" w:rsidR="00C5204F" w:rsidRPr="00A47DDE" w:rsidRDefault="00C5204F" w:rsidP="00C5204F">
      <w:pPr>
        <w:tabs>
          <w:tab w:val="left" w:pos="2268"/>
          <w:tab w:val="left" w:pos="5103"/>
          <w:tab w:val="right" w:pos="8789"/>
        </w:tabs>
        <w:spacing w:after="100" w:afterAutospacing="1"/>
        <w:ind w:right="57"/>
      </w:pPr>
      <w:r>
        <w:t>A</w:t>
      </w:r>
      <w:r w:rsidRPr="00A47DDE">
        <w:t xml:space="preserve"> staggered approach to </w:t>
      </w:r>
      <w:r>
        <w:t xml:space="preserve">the dates of appointment will </w:t>
      </w:r>
      <w:r w:rsidRPr="00A47DDE">
        <w:t>ensure continuity</w:t>
      </w:r>
      <w:r>
        <w:t xml:space="preserve"> and retention of corporate knowledge</w:t>
      </w:r>
      <w:r w:rsidRPr="00A47DDE">
        <w:t>.</w:t>
      </w:r>
    </w:p>
    <w:p w14:paraId="7D7BA726" w14:textId="7DAD2161" w:rsidR="00972E0B" w:rsidRPr="004609AD" w:rsidRDefault="00C5204F" w:rsidP="004609AD">
      <w:pPr>
        <w:tabs>
          <w:tab w:val="left" w:pos="2268"/>
          <w:tab w:val="left" w:pos="5103"/>
          <w:tab w:val="right" w:pos="8789"/>
        </w:tabs>
        <w:spacing w:after="100" w:afterAutospacing="1"/>
        <w:ind w:right="57"/>
      </w:pPr>
      <w:r>
        <w:t>R</w:t>
      </w:r>
      <w:r w:rsidRPr="00A47DDE">
        <w:t xml:space="preserve">enewal </w:t>
      </w:r>
      <w:r>
        <w:t xml:space="preserve">of membership </w:t>
      </w:r>
      <w:r w:rsidRPr="00A47DDE">
        <w:t xml:space="preserve">can be evaluated with regard to </w:t>
      </w:r>
      <w:r>
        <w:t xml:space="preserve">an </w:t>
      </w:r>
      <w:r w:rsidRPr="00A47DDE">
        <w:t xml:space="preserve">assessment </w:t>
      </w:r>
      <w:r>
        <w:t xml:space="preserve">of a member’s contribution and attendance. </w:t>
      </w:r>
      <w:r w:rsidRPr="00A47DDE">
        <w:t>Vacancies created by pre-term resignations are to be managed by the D</w:t>
      </w:r>
      <w:r w:rsidR="00972E0B">
        <w:t>o</w:t>
      </w:r>
      <w:r w:rsidRPr="00A47DDE">
        <w:t xml:space="preserve">H, with advice from the Chair. </w:t>
      </w:r>
      <w:r w:rsidR="000029E1">
        <w:t xml:space="preserve">When a members’ term of appointment is </w:t>
      </w:r>
      <w:r w:rsidR="000029E1" w:rsidRPr="00A47DDE">
        <w:t>due to expire</w:t>
      </w:r>
      <w:r w:rsidR="000029E1">
        <w:t xml:space="preserve">, they </w:t>
      </w:r>
      <w:r w:rsidR="000029E1" w:rsidRPr="00A47DDE">
        <w:t xml:space="preserve">will be asked in writing if they wish to seek reappointment for a second consecutive term. </w:t>
      </w:r>
      <w:r w:rsidR="000029E1">
        <w:t>A</w:t>
      </w:r>
      <w:r w:rsidR="000029E1" w:rsidRPr="00A47DDE">
        <w:rPr>
          <w:rFonts w:eastAsiaTheme="minorHAnsi" w:cs="Vaud-Bold"/>
          <w:bCs/>
        </w:rPr>
        <w:t xml:space="preserve">n </w:t>
      </w:r>
      <w:r w:rsidR="00740D4E">
        <w:rPr>
          <w:rFonts w:eastAsiaTheme="minorHAnsi" w:cs="Vaud-Bold"/>
          <w:bCs/>
        </w:rPr>
        <w:t>e</w:t>
      </w:r>
      <w:r w:rsidR="000029E1" w:rsidRPr="00A47DDE">
        <w:rPr>
          <w:rFonts w:eastAsiaTheme="minorHAnsi" w:cs="Vaud-Bold"/>
          <w:bCs/>
        </w:rPr>
        <w:t xml:space="preserve">xpression of </w:t>
      </w:r>
      <w:r w:rsidR="00740D4E">
        <w:rPr>
          <w:rFonts w:eastAsiaTheme="minorHAnsi" w:cs="Vaud-Bold"/>
          <w:bCs/>
        </w:rPr>
        <w:t>i</w:t>
      </w:r>
      <w:r w:rsidR="000029E1" w:rsidRPr="00A47DDE">
        <w:rPr>
          <w:rFonts w:eastAsiaTheme="minorHAnsi" w:cs="Vaud-Bold"/>
          <w:bCs/>
        </w:rPr>
        <w:t xml:space="preserve">nterest (EOI) process will be run </w:t>
      </w:r>
      <w:r w:rsidR="000029E1">
        <w:rPr>
          <w:rFonts w:eastAsiaTheme="minorHAnsi" w:cs="Vaud-Bold"/>
          <w:bCs/>
        </w:rPr>
        <w:t>to select suitably qualified nominees</w:t>
      </w:r>
      <w:r w:rsidR="000029E1" w:rsidRPr="00A47DDE">
        <w:rPr>
          <w:rFonts w:eastAsiaTheme="minorHAnsi" w:cs="Vaud-Bold"/>
          <w:bCs/>
        </w:rPr>
        <w:t>. The EOI process will be overseen by a selection panel established by the D</w:t>
      </w:r>
      <w:r w:rsidR="00972E0B">
        <w:rPr>
          <w:rFonts w:eastAsiaTheme="minorHAnsi" w:cs="Vaud-Bold"/>
          <w:bCs/>
        </w:rPr>
        <w:t>o</w:t>
      </w:r>
      <w:r w:rsidR="000029E1" w:rsidRPr="00A47DDE">
        <w:rPr>
          <w:rFonts w:eastAsiaTheme="minorHAnsi" w:cs="Vaud-Bold"/>
          <w:bCs/>
        </w:rPr>
        <w:t>H.</w:t>
      </w:r>
    </w:p>
    <w:p w14:paraId="78FB2B4C" w14:textId="12D7D7BA" w:rsidR="004D1DF4" w:rsidRPr="00A47DDE" w:rsidRDefault="000029E1" w:rsidP="004D1DF4">
      <w:pPr>
        <w:autoSpaceDE w:val="0"/>
        <w:autoSpaceDN w:val="0"/>
        <w:adjustRightInd w:val="0"/>
        <w:rPr>
          <w:rFonts w:eastAsiaTheme="minorHAnsi" w:cs="Arial"/>
        </w:rPr>
      </w:pPr>
      <w:r>
        <w:rPr>
          <w:rFonts w:eastAsiaTheme="minorHAnsi" w:cs="Arial"/>
        </w:rPr>
        <w:t>P</w:t>
      </w:r>
      <w:r w:rsidR="004D1DF4" w:rsidRPr="00A47DDE">
        <w:rPr>
          <w:rFonts w:eastAsiaTheme="minorHAnsi" w:cs="Arial"/>
        </w:rPr>
        <w:t xml:space="preserve">ositions </w:t>
      </w:r>
      <w:r>
        <w:rPr>
          <w:rFonts w:eastAsiaTheme="minorHAnsi" w:cs="Arial"/>
        </w:rPr>
        <w:t xml:space="preserve">may </w:t>
      </w:r>
      <w:r w:rsidR="004D1DF4" w:rsidRPr="00A47DDE">
        <w:rPr>
          <w:rFonts w:eastAsiaTheme="minorHAnsi" w:cs="Arial"/>
        </w:rPr>
        <w:t xml:space="preserve">become vacant </w:t>
      </w:r>
      <w:r>
        <w:rPr>
          <w:rFonts w:eastAsiaTheme="minorHAnsi" w:cs="Arial"/>
        </w:rPr>
        <w:t xml:space="preserve">when </w:t>
      </w:r>
      <w:r w:rsidR="004D1DF4" w:rsidRPr="00A47DDE">
        <w:rPr>
          <w:rFonts w:eastAsiaTheme="minorHAnsi" w:cs="Arial"/>
        </w:rPr>
        <w:t>a member:</w:t>
      </w:r>
    </w:p>
    <w:p w14:paraId="56B90D4D" w14:textId="57FCB32C" w:rsidR="004D1DF4" w:rsidRPr="00A47DDE" w:rsidRDefault="000029E1" w:rsidP="00017DF0">
      <w:pPr>
        <w:pStyle w:val="ListParagraph"/>
        <w:numPr>
          <w:ilvl w:val="0"/>
          <w:numId w:val="25"/>
        </w:numPr>
        <w:autoSpaceDE w:val="0"/>
        <w:autoSpaceDN w:val="0"/>
        <w:adjustRightInd w:val="0"/>
        <w:ind w:left="850" w:hanging="357"/>
        <w:rPr>
          <w:rFonts w:eastAsiaTheme="minorHAnsi" w:cs="Arial"/>
        </w:rPr>
      </w:pPr>
      <w:r>
        <w:rPr>
          <w:rFonts w:eastAsiaTheme="minorHAnsi" w:cs="Arial"/>
        </w:rPr>
        <w:t>r</w:t>
      </w:r>
      <w:r w:rsidR="004D1DF4" w:rsidRPr="00A47DDE">
        <w:rPr>
          <w:rFonts w:eastAsiaTheme="minorHAnsi" w:cs="Arial"/>
        </w:rPr>
        <w:t>esigns in writing</w:t>
      </w:r>
    </w:p>
    <w:p w14:paraId="14402535" w14:textId="3EB79688" w:rsidR="004D1DF4" w:rsidRPr="00A47DDE" w:rsidRDefault="000029E1" w:rsidP="00017DF0">
      <w:pPr>
        <w:pStyle w:val="ListParagraph"/>
        <w:numPr>
          <w:ilvl w:val="0"/>
          <w:numId w:val="25"/>
        </w:numPr>
        <w:autoSpaceDE w:val="0"/>
        <w:autoSpaceDN w:val="0"/>
        <w:adjustRightInd w:val="0"/>
        <w:ind w:left="850" w:hanging="357"/>
        <w:rPr>
          <w:rFonts w:eastAsiaTheme="minorHAnsi" w:cs="Arial"/>
        </w:rPr>
      </w:pPr>
      <w:r>
        <w:rPr>
          <w:rFonts w:eastAsiaTheme="minorHAnsi" w:cs="Arial"/>
        </w:rPr>
        <w:t>i</w:t>
      </w:r>
      <w:r w:rsidR="004D1DF4" w:rsidRPr="00A47DDE">
        <w:rPr>
          <w:rFonts w:eastAsiaTheme="minorHAnsi" w:cs="Arial"/>
        </w:rPr>
        <w:t>s absent from more than two meetings in a given year, except for leave granted</w:t>
      </w:r>
    </w:p>
    <w:p w14:paraId="5CA49DB5" w14:textId="0DE9F350" w:rsidR="003B51C6" w:rsidRPr="004609AD" w:rsidRDefault="000029E1" w:rsidP="004609AD">
      <w:pPr>
        <w:pStyle w:val="ListParagraph"/>
        <w:numPr>
          <w:ilvl w:val="0"/>
          <w:numId w:val="25"/>
        </w:numPr>
        <w:autoSpaceDE w:val="0"/>
        <w:autoSpaceDN w:val="0"/>
        <w:adjustRightInd w:val="0"/>
        <w:spacing w:after="100" w:afterAutospacing="1"/>
        <w:ind w:left="851"/>
        <w:contextualSpacing/>
        <w:rPr>
          <w:rFonts w:eastAsiaTheme="minorHAnsi" w:cs="Arial"/>
        </w:rPr>
      </w:pPr>
      <w:proofErr w:type="gramStart"/>
      <w:r>
        <w:rPr>
          <w:rFonts w:eastAsiaTheme="minorHAnsi" w:cs="Arial"/>
        </w:rPr>
        <w:lastRenderedPageBreak/>
        <w:t>f</w:t>
      </w:r>
      <w:r w:rsidR="004D1DF4" w:rsidRPr="00A47DDE">
        <w:rPr>
          <w:rFonts w:eastAsiaTheme="minorHAnsi" w:cs="Arial"/>
        </w:rPr>
        <w:t>ails</w:t>
      </w:r>
      <w:proofErr w:type="gramEnd"/>
      <w:r w:rsidR="004D1DF4" w:rsidRPr="00A47DDE">
        <w:rPr>
          <w:rFonts w:eastAsiaTheme="minorHAnsi" w:cs="Arial"/>
        </w:rPr>
        <w:t xml:space="preserve"> to observe</w:t>
      </w:r>
      <w:r>
        <w:rPr>
          <w:rFonts w:eastAsiaTheme="minorHAnsi" w:cs="Arial"/>
        </w:rPr>
        <w:t>,</w:t>
      </w:r>
      <w:r w:rsidR="004D1DF4" w:rsidRPr="00A47DDE">
        <w:rPr>
          <w:rFonts w:eastAsiaTheme="minorHAnsi" w:cs="Arial"/>
        </w:rPr>
        <w:t xml:space="preserve"> without </w:t>
      </w:r>
      <w:r w:rsidR="00BB0901">
        <w:rPr>
          <w:rFonts w:eastAsiaTheme="minorHAnsi" w:cs="Arial"/>
        </w:rPr>
        <w:t xml:space="preserve">a sound </w:t>
      </w:r>
      <w:r w:rsidR="004D1DF4" w:rsidRPr="00A47DDE">
        <w:rPr>
          <w:rFonts w:eastAsiaTheme="minorHAnsi" w:cs="Arial"/>
        </w:rPr>
        <w:t>reason</w:t>
      </w:r>
      <w:r w:rsidR="00BB0901">
        <w:rPr>
          <w:rFonts w:eastAsiaTheme="minorHAnsi" w:cs="Arial"/>
        </w:rPr>
        <w:t>,</w:t>
      </w:r>
      <w:r w:rsidR="004D1DF4" w:rsidRPr="00A47DDE">
        <w:rPr>
          <w:rFonts w:eastAsiaTheme="minorHAnsi" w:cs="Arial"/>
        </w:rPr>
        <w:t xml:space="preserve"> the Senate’s Code of Conduct.</w:t>
      </w:r>
    </w:p>
    <w:p w14:paraId="324310FB" w14:textId="77777777" w:rsidR="00570C40" w:rsidRDefault="007458AC" w:rsidP="00C45210">
      <w:pPr>
        <w:pStyle w:val="Heading2"/>
        <w:numPr>
          <w:ilvl w:val="1"/>
          <w:numId w:val="9"/>
        </w:numPr>
        <w:ind w:left="709" w:hanging="567"/>
      </w:pPr>
      <w:bookmarkStart w:id="13" w:name="_Toc106196264"/>
      <w:bookmarkEnd w:id="8"/>
      <w:bookmarkEnd w:id="9"/>
      <w:bookmarkEnd w:id="10"/>
      <w:bookmarkEnd w:id="11"/>
      <w:bookmarkEnd w:id="12"/>
      <w:r>
        <w:t>Chair</w:t>
      </w:r>
      <w:bookmarkEnd w:id="13"/>
    </w:p>
    <w:p w14:paraId="51EF3A0F" w14:textId="77777777" w:rsidR="004D1DF4" w:rsidRPr="00A47DDE" w:rsidRDefault="004D1DF4" w:rsidP="004D1DF4">
      <w:pPr>
        <w:tabs>
          <w:tab w:val="left" w:pos="2268"/>
          <w:tab w:val="left" w:pos="5103"/>
          <w:tab w:val="right" w:pos="8789"/>
        </w:tabs>
        <w:ind w:right="57"/>
      </w:pPr>
      <w:r w:rsidRPr="00A47DDE">
        <w:t>The Chair of the Senate:</w:t>
      </w:r>
    </w:p>
    <w:p w14:paraId="61933939" w14:textId="77777777" w:rsidR="004D1DF4" w:rsidRPr="00583D25" w:rsidRDefault="004D1DF4" w:rsidP="000029E1">
      <w:pPr>
        <w:pStyle w:val="ListParagraph"/>
        <w:numPr>
          <w:ilvl w:val="0"/>
          <w:numId w:val="27"/>
        </w:numPr>
        <w:tabs>
          <w:tab w:val="left" w:pos="2268"/>
          <w:tab w:val="left" w:pos="5103"/>
        </w:tabs>
        <w:ind w:left="714" w:right="679" w:hanging="357"/>
      </w:pPr>
      <w:r w:rsidRPr="00583D25">
        <w:t>Is a well-respected practising clinician</w:t>
      </w:r>
    </w:p>
    <w:p w14:paraId="68072F7F" w14:textId="2E856921" w:rsidR="004D1DF4" w:rsidRPr="00583D25" w:rsidRDefault="004D1DF4" w:rsidP="000029E1">
      <w:pPr>
        <w:pStyle w:val="ListParagraph"/>
        <w:numPr>
          <w:ilvl w:val="0"/>
          <w:numId w:val="27"/>
        </w:numPr>
        <w:tabs>
          <w:tab w:val="left" w:pos="2268"/>
          <w:tab w:val="left" w:pos="5103"/>
        </w:tabs>
        <w:ind w:left="714" w:right="679" w:hanging="357"/>
      </w:pPr>
      <w:r w:rsidRPr="00583D25">
        <w:t>Is appointed by the Chief Executive, D</w:t>
      </w:r>
      <w:r w:rsidR="00972E0B">
        <w:t>o</w:t>
      </w:r>
      <w:r w:rsidRPr="00583D25">
        <w:t>H; and</w:t>
      </w:r>
    </w:p>
    <w:p w14:paraId="76B61BA3" w14:textId="71D382D7" w:rsidR="004D1DF4" w:rsidRPr="00583D25" w:rsidRDefault="004D1DF4" w:rsidP="004C577A">
      <w:pPr>
        <w:pStyle w:val="ListParagraph"/>
        <w:numPr>
          <w:ilvl w:val="0"/>
          <w:numId w:val="27"/>
        </w:numPr>
        <w:tabs>
          <w:tab w:val="left" w:pos="2268"/>
          <w:tab w:val="left" w:pos="5103"/>
        </w:tabs>
        <w:spacing w:after="240"/>
        <w:ind w:left="714" w:right="679" w:hanging="357"/>
      </w:pPr>
      <w:r w:rsidRPr="00583D25">
        <w:rPr>
          <w:rFonts w:eastAsiaTheme="minorHAnsi" w:cs="Arial"/>
        </w:rPr>
        <w:t>Will be appointed for a three</w:t>
      </w:r>
      <w:r w:rsidR="007C6205">
        <w:rPr>
          <w:rFonts w:eastAsiaTheme="minorHAnsi" w:cs="Arial"/>
        </w:rPr>
        <w:t>-</w:t>
      </w:r>
      <w:r w:rsidRPr="00583D25">
        <w:rPr>
          <w:rFonts w:eastAsiaTheme="minorHAnsi" w:cs="Arial"/>
        </w:rPr>
        <w:t xml:space="preserve">year </w:t>
      </w:r>
      <w:r w:rsidR="007C6205">
        <w:rPr>
          <w:rFonts w:eastAsiaTheme="minorHAnsi" w:cs="Arial"/>
        </w:rPr>
        <w:t>term</w:t>
      </w:r>
      <w:r w:rsidRPr="00583D25">
        <w:rPr>
          <w:rFonts w:eastAsiaTheme="minorHAnsi" w:cs="Arial"/>
        </w:rPr>
        <w:t xml:space="preserve"> with an option of extension of a second three-year term </w:t>
      </w:r>
      <w:r w:rsidR="007C6205">
        <w:rPr>
          <w:rFonts w:eastAsiaTheme="minorHAnsi" w:cs="Arial"/>
        </w:rPr>
        <w:t xml:space="preserve">- </w:t>
      </w:r>
      <w:r w:rsidRPr="00583D25">
        <w:rPr>
          <w:rFonts w:eastAsiaTheme="minorHAnsi" w:cs="Arial"/>
        </w:rPr>
        <w:t>with a maximum of two consecutive terms.</w:t>
      </w:r>
    </w:p>
    <w:p w14:paraId="434F29C3" w14:textId="7BAA2FDC" w:rsidR="003B51C6" w:rsidRDefault="004D1DF4" w:rsidP="004C577A">
      <w:pPr>
        <w:tabs>
          <w:tab w:val="left" w:pos="2268"/>
          <w:tab w:val="left" w:pos="5103"/>
          <w:tab w:val="right" w:pos="8789"/>
        </w:tabs>
        <w:spacing w:after="240"/>
        <w:ind w:right="57"/>
        <w:rPr>
          <w:sz w:val="24"/>
          <w:szCs w:val="24"/>
        </w:rPr>
      </w:pPr>
      <w:r w:rsidRPr="00A47DDE">
        <w:rPr>
          <w:rFonts w:eastAsiaTheme="minorHAnsi" w:cs="Arial"/>
        </w:rPr>
        <w:t xml:space="preserve">Should the Chair be absent from a meeting, the </w:t>
      </w:r>
      <w:r w:rsidRPr="00A47DDE">
        <w:t>Deputy Chai</w:t>
      </w:r>
      <w:r w:rsidR="00255EEE">
        <w:t>r will preside over the meeting</w:t>
      </w:r>
      <w:r w:rsidR="004609AD">
        <w:t>.</w:t>
      </w:r>
    </w:p>
    <w:p w14:paraId="1703BCDB" w14:textId="77777777" w:rsidR="007458AC" w:rsidRDefault="004D1DF4" w:rsidP="004609AD">
      <w:pPr>
        <w:pStyle w:val="Heading2"/>
        <w:numPr>
          <w:ilvl w:val="1"/>
          <w:numId w:val="9"/>
        </w:numPr>
      </w:pPr>
      <w:bookmarkStart w:id="14" w:name="_Toc106196265"/>
      <w:r>
        <w:t>Deputy Chair</w:t>
      </w:r>
      <w:bookmarkEnd w:id="14"/>
    </w:p>
    <w:p w14:paraId="5AA55918" w14:textId="09DFA65B" w:rsidR="000029E1" w:rsidRDefault="004D1DF4" w:rsidP="00BB0901">
      <w:pPr>
        <w:tabs>
          <w:tab w:val="left" w:pos="2268"/>
          <w:tab w:val="left" w:pos="5103"/>
          <w:tab w:val="right" w:pos="8789"/>
        </w:tabs>
        <w:spacing w:after="100" w:afterAutospacing="1"/>
        <w:ind w:right="57"/>
        <w:rPr>
          <w:rFonts w:eastAsiaTheme="minorHAnsi" w:cs="Arial"/>
        </w:rPr>
      </w:pPr>
      <w:r w:rsidRPr="004D1DF4">
        <w:rPr>
          <w:rFonts w:eastAsiaTheme="minorHAnsi" w:cs="Arial"/>
        </w:rPr>
        <w:t xml:space="preserve">The Chief Executive, </w:t>
      </w:r>
      <w:r w:rsidR="004609AD">
        <w:rPr>
          <w:rFonts w:eastAsiaTheme="minorHAnsi" w:cs="Arial"/>
        </w:rPr>
        <w:t>NT Health</w:t>
      </w:r>
      <w:r w:rsidRPr="004D1DF4">
        <w:rPr>
          <w:rFonts w:eastAsiaTheme="minorHAnsi" w:cs="Arial"/>
        </w:rPr>
        <w:t xml:space="preserve"> may appoint a Deputy Chair, drawn from the membership.</w:t>
      </w:r>
    </w:p>
    <w:p w14:paraId="341275EE" w14:textId="4F1EE2AA" w:rsidR="000029E1" w:rsidRDefault="000029E1" w:rsidP="000029E1">
      <w:pPr>
        <w:tabs>
          <w:tab w:val="left" w:pos="2268"/>
          <w:tab w:val="left" w:pos="5103"/>
          <w:tab w:val="right" w:pos="8789"/>
        </w:tabs>
        <w:spacing w:after="100" w:afterAutospacing="1"/>
        <w:ind w:right="57"/>
        <w:rPr>
          <w:rFonts w:eastAsiaTheme="minorHAnsi" w:cs="Arial"/>
        </w:rPr>
      </w:pPr>
      <w:r w:rsidRPr="004D1DF4">
        <w:rPr>
          <w:rFonts w:eastAsiaTheme="minorHAnsi" w:cs="Arial"/>
        </w:rPr>
        <w:t>The Deputy Chair is a</w:t>
      </w:r>
      <w:r>
        <w:rPr>
          <w:rFonts w:eastAsiaTheme="minorHAnsi" w:cs="Arial"/>
        </w:rPr>
        <w:t>lso a</w:t>
      </w:r>
      <w:r w:rsidRPr="004D1DF4">
        <w:rPr>
          <w:rFonts w:eastAsiaTheme="minorHAnsi" w:cs="Arial"/>
        </w:rPr>
        <w:t xml:space="preserve"> member on the Senate Executive Committee. </w:t>
      </w:r>
    </w:p>
    <w:p w14:paraId="5C2B3516" w14:textId="77777777" w:rsidR="000029E1" w:rsidRDefault="000029E1" w:rsidP="000029E1">
      <w:pPr>
        <w:tabs>
          <w:tab w:val="left" w:pos="2268"/>
          <w:tab w:val="left" w:pos="5103"/>
          <w:tab w:val="right" w:pos="8789"/>
        </w:tabs>
        <w:spacing w:after="100" w:afterAutospacing="1"/>
        <w:ind w:right="57"/>
        <w:rPr>
          <w:rFonts w:eastAsiaTheme="minorHAnsi" w:cs="Arial"/>
        </w:rPr>
      </w:pPr>
      <w:r w:rsidRPr="004D1DF4">
        <w:rPr>
          <w:rFonts w:eastAsiaTheme="minorHAnsi" w:cs="Arial"/>
        </w:rPr>
        <w:t>The Deputy Chair undertakes the Chair’s role in his/her absence.</w:t>
      </w:r>
    </w:p>
    <w:p w14:paraId="59C5CF2E" w14:textId="302C2543" w:rsidR="000029E1" w:rsidRPr="004D1DF4" w:rsidRDefault="000029E1" w:rsidP="000029E1">
      <w:pPr>
        <w:tabs>
          <w:tab w:val="left" w:pos="2268"/>
          <w:tab w:val="left" w:pos="5103"/>
          <w:tab w:val="right" w:pos="8789"/>
        </w:tabs>
        <w:spacing w:after="100" w:afterAutospacing="1"/>
        <w:ind w:right="57"/>
        <w:rPr>
          <w:rFonts w:eastAsiaTheme="minorHAnsi" w:cs="Arial"/>
        </w:rPr>
      </w:pPr>
      <w:r w:rsidRPr="004D1DF4">
        <w:rPr>
          <w:rFonts w:eastAsiaTheme="minorHAnsi" w:cs="Arial"/>
        </w:rPr>
        <w:t xml:space="preserve">The term of the Deputy Chair is commensurate with the period of </w:t>
      </w:r>
      <w:r>
        <w:rPr>
          <w:rFonts w:eastAsiaTheme="minorHAnsi" w:cs="Arial"/>
        </w:rPr>
        <w:t xml:space="preserve">their </w:t>
      </w:r>
      <w:r w:rsidRPr="004D1DF4">
        <w:rPr>
          <w:rFonts w:eastAsiaTheme="minorHAnsi" w:cs="Arial"/>
        </w:rPr>
        <w:t xml:space="preserve">term of membership of the Senate. </w:t>
      </w:r>
      <w:r>
        <w:rPr>
          <w:rFonts w:eastAsiaTheme="minorHAnsi" w:cs="Arial"/>
        </w:rPr>
        <w:t>T</w:t>
      </w:r>
      <w:r w:rsidRPr="004D1DF4">
        <w:rPr>
          <w:rFonts w:eastAsiaTheme="minorHAnsi" w:cs="Arial"/>
        </w:rPr>
        <w:t xml:space="preserve">he Deputy Chair will serve </w:t>
      </w:r>
      <w:r w:rsidRPr="00A47DDE">
        <w:t>no more than two consecutive terms.</w:t>
      </w:r>
    </w:p>
    <w:p w14:paraId="0570D2FD" w14:textId="6B2F0B12" w:rsidR="004D1DF4" w:rsidRPr="004D1DF4" w:rsidRDefault="004D1DF4" w:rsidP="00BB0901">
      <w:pPr>
        <w:tabs>
          <w:tab w:val="left" w:pos="2268"/>
          <w:tab w:val="left" w:pos="5103"/>
          <w:tab w:val="right" w:pos="8789"/>
        </w:tabs>
        <w:spacing w:after="100" w:afterAutospacing="1"/>
        <w:ind w:right="57"/>
        <w:rPr>
          <w:rFonts w:eastAsiaTheme="minorHAnsi" w:cs="Arial"/>
        </w:rPr>
      </w:pPr>
      <w:r w:rsidRPr="004D1DF4">
        <w:rPr>
          <w:rFonts w:eastAsiaTheme="minorHAnsi" w:cs="Arial"/>
        </w:rPr>
        <w:t>The Secretariat must convene a selection panel to select the Deputy Chair for consideration by the Chief Executive.</w:t>
      </w:r>
    </w:p>
    <w:p w14:paraId="77D0E1E7" w14:textId="548BC6D2" w:rsidR="007458AC" w:rsidRDefault="000029E1" w:rsidP="004609AD">
      <w:pPr>
        <w:pStyle w:val="Heading2"/>
        <w:numPr>
          <w:ilvl w:val="1"/>
          <w:numId w:val="9"/>
        </w:numPr>
      </w:pPr>
      <w:bookmarkStart w:id="15" w:name="_Toc106196266"/>
      <w:r>
        <w:t>Member skills/qualifications</w:t>
      </w:r>
      <w:bookmarkEnd w:id="15"/>
    </w:p>
    <w:p w14:paraId="23774624" w14:textId="1DDC0853" w:rsidR="00255EEE" w:rsidRPr="00A47DDE" w:rsidRDefault="00255EEE" w:rsidP="00255EEE">
      <w:pPr>
        <w:autoSpaceDE w:val="0"/>
        <w:autoSpaceDN w:val="0"/>
        <w:adjustRightInd w:val="0"/>
        <w:rPr>
          <w:rFonts w:eastAsiaTheme="minorHAnsi" w:cs="Vaud-Light"/>
        </w:rPr>
      </w:pPr>
      <w:r w:rsidRPr="00A47DDE">
        <w:rPr>
          <w:rFonts w:eastAsiaTheme="minorHAnsi" w:cs="Vaud-Light"/>
        </w:rPr>
        <w:t xml:space="preserve">Clinical members of the </w:t>
      </w:r>
      <w:r w:rsidRPr="00A47DDE">
        <w:t>Senate</w:t>
      </w:r>
      <w:r w:rsidRPr="00A47DDE">
        <w:rPr>
          <w:rFonts w:eastAsiaTheme="minorHAnsi" w:cs="Vaud-Light"/>
        </w:rPr>
        <w:t xml:space="preserve"> are expected to have significant relevant understanding in a particular discipline including:</w:t>
      </w:r>
    </w:p>
    <w:p w14:paraId="31CAAA39" w14:textId="77777777" w:rsidR="00255EEE" w:rsidRPr="00A47DDE" w:rsidRDefault="00255EEE" w:rsidP="00540EB9">
      <w:pPr>
        <w:pStyle w:val="ListParagraph"/>
        <w:numPr>
          <w:ilvl w:val="0"/>
          <w:numId w:val="28"/>
        </w:numPr>
        <w:autoSpaceDE w:val="0"/>
        <w:autoSpaceDN w:val="0"/>
        <w:adjustRightInd w:val="0"/>
        <w:ind w:left="850" w:right="679" w:hanging="357"/>
        <w:rPr>
          <w:rFonts w:eastAsiaTheme="minorHAnsi" w:cs="Vaud-Light"/>
        </w:rPr>
      </w:pPr>
      <w:r w:rsidRPr="00A47DDE">
        <w:rPr>
          <w:rFonts w:eastAsiaTheme="minorHAnsi" w:cs="Vaud-Light"/>
        </w:rPr>
        <w:t>Opportunities to improve quality of care or health outcomes</w:t>
      </w:r>
    </w:p>
    <w:p w14:paraId="46F109B3" w14:textId="77777777" w:rsidR="00255EEE" w:rsidRPr="00A47DDE" w:rsidRDefault="00255EEE" w:rsidP="00540EB9">
      <w:pPr>
        <w:pStyle w:val="ListParagraph"/>
        <w:numPr>
          <w:ilvl w:val="0"/>
          <w:numId w:val="28"/>
        </w:numPr>
        <w:autoSpaceDE w:val="0"/>
        <w:autoSpaceDN w:val="0"/>
        <w:adjustRightInd w:val="0"/>
        <w:ind w:left="850" w:right="679" w:hanging="357"/>
        <w:rPr>
          <w:rFonts w:eastAsiaTheme="minorHAnsi" w:cs="Vaud-Light"/>
        </w:rPr>
      </w:pPr>
      <w:r w:rsidRPr="00A47DDE">
        <w:rPr>
          <w:rFonts w:eastAsiaTheme="minorHAnsi" w:cs="Vaud-Light"/>
        </w:rPr>
        <w:t>Evidence based practice and how this can be promulgated to drive system-wide improvements in service delivery and quality of health care</w:t>
      </w:r>
    </w:p>
    <w:p w14:paraId="280DEC53" w14:textId="77777777" w:rsidR="00255EEE" w:rsidRPr="00A47DDE" w:rsidRDefault="00255EEE" w:rsidP="00540EB9">
      <w:pPr>
        <w:pStyle w:val="ListParagraph"/>
        <w:numPr>
          <w:ilvl w:val="0"/>
          <w:numId w:val="28"/>
        </w:numPr>
        <w:autoSpaceDE w:val="0"/>
        <w:autoSpaceDN w:val="0"/>
        <w:adjustRightInd w:val="0"/>
        <w:ind w:left="850" w:right="679" w:hanging="357"/>
        <w:rPr>
          <w:rFonts w:eastAsiaTheme="minorHAnsi" w:cs="Vaud-Light"/>
        </w:rPr>
      </w:pPr>
      <w:r w:rsidRPr="00A47DDE">
        <w:rPr>
          <w:rFonts w:eastAsiaTheme="minorHAnsi" w:cs="Vaud-Light"/>
        </w:rPr>
        <w:t>Innovative approaches to reduce unwarranted clinical variation and preventable harm</w:t>
      </w:r>
    </w:p>
    <w:p w14:paraId="7E9FBE44" w14:textId="6E9F77DA" w:rsidR="00255EEE" w:rsidRPr="004609AD" w:rsidRDefault="00255EEE" w:rsidP="00255EEE">
      <w:pPr>
        <w:pStyle w:val="ListParagraph"/>
        <w:numPr>
          <w:ilvl w:val="0"/>
          <w:numId w:val="28"/>
        </w:numPr>
        <w:autoSpaceDE w:val="0"/>
        <w:autoSpaceDN w:val="0"/>
        <w:adjustRightInd w:val="0"/>
        <w:spacing w:after="100" w:afterAutospacing="1"/>
        <w:ind w:left="851" w:right="679"/>
        <w:contextualSpacing/>
        <w:rPr>
          <w:rFonts w:eastAsiaTheme="minorHAnsi" w:cs="Vaud-Light"/>
        </w:rPr>
      </w:pPr>
      <w:r w:rsidRPr="00A47DDE">
        <w:rPr>
          <w:rFonts w:eastAsiaTheme="minorHAnsi" w:cs="Vaud-Light"/>
        </w:rPr>
        <w:t xml:space="preserve">Best practice ways to foster consensus for change. </w:t>
      </w:r>
    </w:p>
    <w:p w14:paraId="515335EE" w14:textId="77777777" w:rsidR="007458AC" w:rsidRDefault="00E445E7" w:rsidP="004609AD">
      <w:pPr>
        <w:pStyle w:val="Heading2"/>
        <w:numPr>
          <w:ilvl w:val="1"/>
          <w:numId w:val="9"/>
        </w:numPr>
      </w:pPr>
      <w:bookmarkStart w:id="16" w:name="_Toc106196267"/>
      <w:r>
        <w:t>Responsibilities of Members</w:t>
      </w:r>
      <w:bookmarkEnd w:id="16"/>
    </w:p>
    <w:p w14:paraId="0048D5CA" w14:textId="6EEA7F21" w:rsidR="00255EEE" w:rsidRPr="00A47DDE" w:rsidRDefault="00255EEE" w:rsidP="00BB0901">
      <w:pPr>
        <w:tabs>
          <w:tab w:val="left" w:pos="2268"/>
          <w:tab w:val="left" w:pos="5103"/>
          <w:tab w:val="right" w:pos="8789"/>
        </w:tabs>
        <w:spacing w:after="100" w:afterAutospacing="1"/>
        <w:ind w:right="57"/>
      </w:pPr>
      <w:r w:rsidRPr="00A47DDE">
        <w:t>Members will be asked to respond to specific issues identified by the D</w:t>
      </w:r>
      <w:r w:rsidR="00972E0B">
        <w:t>oH</w:t>
      </w:r>
      <w:r w:rsidRPr="00A47DDE">
        <w:t xml:space="preserve"> but may also identify issues which are within the scope of the Terms of Reference. An agenda should have no more than 50% of issues identified by members, and is approved by the Chair prior to release.</w:t>
      </w:r>
    </w:p>
    <w:p w14:paraId="053E5032" w14:textId="77777777" w:rsidR="00255EEE" w:rsidRPr="00A47DDE" w:rsidRDefault="00255EEE" w:rsidP="00BB0901">
      <w:pPr>
        <w:tabs>
          <w:tab w:val="left" w:pos="2268"/>
          <w:tab w:val="left" w:pos="5103"/>
          <w:tab w:val="right" w:pos="8789"/>
        </w:tabs>
        <w:spacing w:after="100" w:afterAutospacing="1"/>
        <w:ind w:right="57"/>
      </w:pPr>
      <w:r w:rsidRPr="00A47DDE">
        <w:t>Members will debate issues and develop recommendations for consideration by the Chief Executive. Recommendations must be formally considered and reviewed by the Chief Executive. Reasons for not implementing a recommendation are provided in writing to the Chair by the Chief Executive.</w:t>
      </w:r>
    </w:p>
    <w:p w14:paraId="42974F47" w14:textId="77777777" w:rsidR="00255EEE" w:rsidRPr="00A47DDE" w:rsidRDefault="00255EEE" w:rsidP="00BB0901">
      <w:pPr>
        <w:shd w:val="clear" w:color="auto" w:fill="FFFFFF" w:themeFill="background1"/>
        <w:autoSpaceDE w:val="0"/>
        <w:autoSpaceDN w:val="0"/>
        <w:adjustRightInd w:val="0"/>
        <w:spacing w:after="100" w:afterAutospacing="1"/>
      </w:pPr>
      <w:r w:rsidRPr="00A47DDE">
        <w:lastRenderedPageBreak/>
        <w:t>Members will develop an annual work plan to guide the scheduling of debates.</w:t>
      </w:r>
    </w:p>
    <w:p w14:paraId="5F9FCFF7" w14:textId="6F6CC891" w:rsidR="003B51C6" w:rsidRDefault="00255EEE" w:rsidP="004609AD">
      <w:pPr>
        <w:shd w:val="clear" w:color="auto" w:fill="FFFFFF" w:themeFill="background1"/>
        <w:autoSpaceDE w:val="0"/>
        <w:autoSpaceDN w:val="0"/>
        <w:adjustRightInd w:val="0"/>
        <w:spacing w:after="100" w:afterAutospacing="1"/>
      </w:pPr>
      <w:r w:rsidRPr="00A47DDE">
        <w:t>Members will produce an annual report of their activities and recommendations for the Chief Executive.</w:t>
      </w:r>
    </w:p>
    <w:p w14:paraId="10FA21CE" w14:textId="77777777" w:rsidR="007458AC" w:rsidRDefault="00255EEE" w:rsidP="004609AD">
      <w:pPr>
        <w:pStyle w:val="Heading2"/>
        <w:numPr>
          <w:ilvl w:val="1"/>
          <w:numId w:val="9"/>
        </w:numPr>
      </w:pPr>
      <w:bookmarkStart w:id="17" w:name="_Toc106196268"/>
      <w:r>
        <w:t>Executive Committee</w:t>
      </w:r>
      <w:bookmarkEnd w:id="17"/>
      <w:r w:rsidR="00E445E7">
        <w:t xml:space="preserve"> </w:t>
      </w:r>
    </w:p>
    <w:p w14:paraId="0E3B0D67" w14:textId="351BF9FE" w:rsidR="00730760" w:rsidRDefault="00255EEE" w:rsidP="00255EEE">
      <w:pPr>
        <w:shd w:val="clear" w:color="auto" w:fill="FFFFFF" w:themeFill="background1"/>
        <w:autoSpaceDE w:val="0"/>
        <w:autoSpaceDN w:val="0"/>
        <w:adjustRightInd w:val="0"/>
      </w:pPr>
      <w:r w:rsidRPr="00A47DDE">
        <w:t>The Executive Committee is the initial contact for all business of the Senate</w:t>
      </w:r>
      <w:r w:rsidR="00730760">
        <w:t>. The responsibilities of the Executive Committee are listed below:</w:t>
      </w:r>
    </w:p>
    <w:p w14:paraId="3E513F5D" w14:textId="0D52596C" w:rsidR="00730760" w:rsidRDefault="00730760" w:rsidP="00730760">
      <w:pPr>
        <w:pStyle w:val="ListParagraph"/>
        <w:numPr>
          <w:ilvl w:val="0"/>
          <w:numId w:val="35"/>
        </w:numPr>
        <w:shd w:val="clear" w:color="auto" w:fill="FFFFFF" w:themeFill="background1"/>
        <w:autoSpaceDE w:val="0"/>
        <w:autoSpaceDN w:val="0"/>
        <w:adjustRightInd w:val="0"/>
      </w:pPr>
      <w:r>
        <w:t>P</w:t>
      </w:r>
      <w:r w:rsidR="00255EEE" w:rsidRPr="00A47DDE">
        <w:t>lan the Senate quarterly meetings</w:t>
      </w:r>
    </w:p>
    <w:p w14:paraId="66EFA4F7" w14:textId="2B3D370A" w:rsidR="00255EEE" w:rsidRPr="00A47DDE" w:rsidRDefault="00730760" w:rsidP="00730760">
      <w:pPr>
        <w:pStyle w:val="ListParagraph"/>
        <w:numPr>
          <w:ilvl w:val="0"/>
          <w:numId w:val="35"/>
        </w:numPr>
        <w:shd w:val="clear" w:color="auto" w:fill="FFFFFF" w:themeFill="background1"/>
        <w:autoSpaceDE w:val="0"/>
        <w:autoSpaceDN w:val="0"/>
        <w:adjustRightInd w:val="0"/>
      </w:pPr>
      <w:r>
        <w:t>O</w:t>
      </w:r>
      <w:r w:rsidR="00255EEE" w:rsidRPr="00A47DDE">
        <w:t xml:space="preserve">versee the administration of the Senate. </w:t>
      </w:r>
    </w:p>
    <w:p w14:paraId="12987C5D" w14:textId="00898773"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ind w:left="720" w:right="679"/>
      </w:pPr>
      <w:r w:rsidRPr="00A47DDE">
        <w:t>Promote the core values and markets the outcomes from its activities</w:t>
      </w:r>
    </w:p>
    <w:p w14:paraId="7EE7AD16" w14:textId="667533F3"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ind w:left="720" w:right="679"/>
      </w:pPr>
      <w:r w:rsidRPr="00A47DDE">
        <w:t>Ensure deliberations and activities are consistent with the values and vision of the Senate</w:t>
      </w:r>
    </w:p>
    <w:p w14:paraId="18E812C4" w14:textId="5C5735DD"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ind w:left="720" w:right="679"/>
      </w:pPr>
      <w:r w:rsidRPr="00A47DDE">
        <w:t>Identif</w:t>
      </w:r>
      <w:r w:rsidR="00730760">
        <w:t>y</w:t>
      </w:r>
      <w:r w:rsidRPr="00A47DDE">
        <w:t xml:space="preserve"> potential risk and establishes risk management processes</w:t>
      </w:r>
    </w:p>
    <w:p w14:paraId="1A24A0BA" w14:textId="74377378"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ind w:left="720" w:right="679"/>
      </w:pPr>
      <w:r w:rsidRPr="00A47DDE">
        <w:t>Debate, develop and establish operational policy in relation to its activities</w:t>
      </w:r>
    </w:p>
    <w:p w14:paraId="0A36C9E7" w14:textId="75A64B97"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ind w:left="720" w:right="679"/>
        <w:rPr>
          <w:rFonts w:cstheme="minorHAnsi"/>
        </w:rPr>
      </w:pPr>
      <w:r w:rsidRPr="00A47DDE">
        <w:rPr>
          <w:rFonts w:cstheme="minorHAnsi"/>
        </w:rPr>
        <w:t>Represent the Senate at meetings with key stakeholders</w:t>
      </w:r>
    </w:p>
    <w:p w14:paraId="72EC5D96" w14:textId="6CAA84F4"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ind w:left="720" w:right="679"/>
        <w:rPr>
          <w:rFonts w:cstheme="minorHAnsi"/>
        </w:rPr>
      </w:pPr>
      <w:r w:rsidRPr="00A47DDE">
        <w:rPr>
          <w:rFonts w:cstheme="minorHAnsi"/>
        </w:rPr>
        <w:t>Ensure regular and timely communication with members and other key stakeholders</w:t>
      </w:r>
    </w:p>
    <w:p w14:paraId="70CF25F2" w14:textId="3956EFC2" w:rsidR="00255EEE" w:rsidRPr="00A47DDE" w:rsidRDefault="00255EEE" w:rsidP="00730760">
      <w:pPr>
        <w:pStyle w:val="ListParagraph"/>
        <w:numPr>
          <w:ilvl w:val="0"/>
          <w:numId w:val="29"/>
        </w:numPr>
        <w:shd w:val="clear" w:color="auto" w:fill="FFFFFF" w:themeFill="background1"/>
        <w:tabs>
          <w:tab w:val="num" w:pos="1440"/>
        </w:tabs>
        <w:autoSpaceDE w:val="0"/>
        <w:autoSpaceDN w:val="0"/>
        <w:adjustRightInd w:val="0"/>
        <w:spacing w:after="240"/>
        <w:ind w:left="720" w:right="680"/>
        <w:rPr>
          <w:rFonts w:cstheme="minorHAnsi"/>
        </w:rPr>
      </w:pPr>
      <w:r w:rsidRPr="00A47DDE">
        <w:rPr>
          <w:rFonts w:cstheme="minorHAnsi"/>
        </w:rPr>
        <w:t>Measure the performance of the Senate.</w:t>
      </w:r>
    </w:p>
    <w:p w14:paraId="55EFA8D4" w14:textId="34D171F7" w:rsidR="00255EEE" w:rsidRPr="00A47DDE" w:rsidRDefault="000029E1" w:rsidP="00255EEE">
      <w:pPr>
        <w:shd w:val="clear" w:color="auto" w:fill="FFFFFF" w:themeFill="background1"/>
        <w:autoSpaceDE w:val="0"/>
        <w:autoSpaceDN w:val="0"/>
        <w:adjustRightInd w:val="0"/>
        <w:spacing w:after="100" w:afterAutospacing="1"/>
      </w:pPr>
      <w:r>
        <w:t xml:space="preserve">The Executive Committee is comprised of </w:t>
      </w:r>
      <w:r w:rsidR="00255EEE" w:rsidRPr="00A47DDE">
        <w:t xml:space="preserve">the </w:t>
      </w:r>
      <w:r w:rsidR="00730760">
        <w:t xml:space="preserve">Senate </w:t>
      </w:r>
      <w:r w:rsidR="00255EEE" w:rsidRPr="00A47DDE">
        <w:t xml:space="preserve">Chair, Deputy Chair and at least </w:t>
      </w:r>
      <w:r w:rsidR="006F3FBD">
        <w:t>four</w:t>
      </w:r>
      <w:r w:rsidR="00255EEE" w:rsidRPr="00A47DDE">
        <w:t xml:space="preserve"> other members representative of the diversity of professional disciplines and geographical location of Senate members. Members may be selected in order to develop leadership skills and executive experience.</w:t>
      </w:r>
    </w:p>
    <w:p w14:paraId="662CA6DA" w14:textId="47E497A1" w:rsidR="00255EEE" w:rsidRPr="00A47DDE" w:rsidRDefault="000029E1" w:rsidP="00255EEE">
      <w:pPr>
        <w:shd w:val="clear" w:color="auto" w:fill="FFFFFF" w:themeFill="background1"/>
        <w:autoSpaceDE w:val="0"/>
        <w:autoSpaceDN w:val="0"/>
        <w:adjustRightInd w:val="0"/>
        <w:spacing w:after="100" w:afterAutospacing="1"/>
      </w:pPr>
      <w:r>
        <w:t>A</w:t>
      </w:r>
      <w:r w:rsidR="00255EEE" w:rsidRPr="00A47DDE">
        <w:t xml:space="preserve"> </w:t>
      </w:r>
      <w:r w:rsidR="006F3FBD">
        <w:t>q</w:t>
      </w:r>
      <w:r w:rsidR="00255EEE" w:rsidRPr="00A47DDE">
        <w:t xml:space="preserve">uorum </w:t>
      </w:r>
      <w:r>
        <w:t>of</w:t>
      </w:r>
      <w:r w:rsidR="00255EEE" w:rsidRPr="00A47DDE">
        <w:t xml:space="preserve"> the Executive Committee </w:t>
      </w:r>
      <w:r>
        <w:t xml:space="preserve">is </w:t>
      </w:r>
      <w:r w:rsidR="006F3FBD">
        <w:t>three</w:t>
      </w:r>
      <w:r w:rsidR="00255EEE" w:rsidRPr="00A47DDE">
        <w:t xml:space="preserve"> Executive Committee members present</w:t>
      </w:r>
      <w:r>
        <w:t>,</w:t>
      </w:r>
      <w:r w:rsidR="00255EEE" w:rsidRPr="00A47DDE">
        <w:t xml:space="preserve"> </w:t>
      </w:r>
      <w:r>
        <w:t xml:space="preserve">and </w:t>
      </w:r>
      <w:r w:rsidR="00255EEE" w:rsidRPr="00A47DDE">
        <w:t xml:space="preserve">the Chair </w:t>
      </w:r>
      <w:r>
        <w:rPr>
          <w:u w:val="single"/>
        </w:rPr>
        <w:t>or</w:t>
      </w:r>
      <w:r w:rsidR="00255EEE" w:rsidRPr="00A47DDE">
        <w:t xml:space="preserve"> Deputy Chair.</w:t>
      </w:r>
    </w:p>
    <w:p w14:paraId="4A783DD3" w14:textId="27CE9130" w:rsidR="003B51C6" w:rsidRPr="004609AD" w:rsidRDefault="00255EEE" w:rsidP="004609AD">
      <w:pPr>
        <w:shd w:val="clear" w:color="auto" w:fill="FFFFFF" w:themeFill="background1"/>
        <w:autoSpaceDE w:val="0"/>
        <w:autoSpaceDN w:val="0"/>
        <w:adjustRightInd w:val="0"/>
        <w:spacing w:after="100" w:afterAutospacing="1"/>
        <w:rPr>
          <w:rFonts w:eastAsiaTheme="minorHAnsi" w:cs="Arial"/>
          <w:bCs/>
        </w:rPr>
      </w:pPr>
      <w:r w:rsidRPr="00A47DDE">
        <w:rPr>
          <w:rFonts w:eastAsiaTheme="minorHAnsi" w:cs="Arial"/>
          <w:bCs/>
        </w:rPr>
        <w:t xml:space="preserve">The term </w:t>
      </w:r>
      <w:r w:rsidRPr="00A47DDE">
        <w:rPr>
          <w:rFonts w:eastAsiaTheme="minorHAnsi" w:cs="Arial"/>
        </w:rPr>
        <w:t xml:space="preserve">of </w:t>
      </w:r>
      <w:r w:rsidR="000029E1">
        <w:rPr>
          <w:rFonts w:eastAsiaTheme="minorHAnsi" w:cs="Arial"/>
        </w:rPr>
        <w:t>appointment on t</w:t>
      </w:r>
      <w:r w:rsidRPr="00A47DDE">
        <w:rPr>
          <w:rFonts w:eastAsiaTheme="minorHAnsi" w:cs="Arial"/>
        </w:rPr>
        <w:t xml:space="preserve">he Executive </w:t>
      </w:r>
      <w:r w:rsidR="000029E1">
        <w:rPr>
          <w:rFonts w:eastAsiaTheme="minorHAnsi" w:cs="Arial"/>
        </w:rPr>
        <w:t xml:space="preserve">Committee </w:t>
      </w:r>
      <w:r w:rsidRPr="00A47DDE">
        <w:rPr>
          <w:rFonts w:eastAsiaTheme="minorHAnsi" w:cs="Arial"/>
        </w:rPr>
        <w:t>is commensurate with the member’s term of</w:t>
      </w:r>
      <w:r w:rsidR="000029E1">
        <w:rPr>
          <w:rFonts w:eastAsiaTheme="minorHAnsi" w:cs="Arial"/>
        </w:rPr>
        <w:t xml:space="preserve"> appointment</w:t>
      </w:r>
      <w:r w:rsidRPr="00A47DDE">
        <w:rPr>
          <w:rFonts w:eastAsiaTheme="minorHAnsi" w:cs="Arial"/>
        </w:rPr>
        <w:t xml:space="preserve"> </w:t>
      </w:r>
      <w:r w:rsidR="000029E1">
        <w:rPr>
          <w:rFonts w:eastAsiaTheme="minorHAnsi" w:cs="Arial"/>
        </w:rPr>
        <w:t xml:space="preserve">with the </w:t>
      </w:r>
      <w:r w:rsidRPr="00A47DDE">
        <w:rPr>
          <w:rFonts w:eastAsiaTheme="minorHAnsi" w:cs="Arial"/>
        </w:rPr>
        <w:t>Senate, unless agreed otherwise with D</w:t>
      </w:r>
      <w:r w:rsidR="00972E0B">
        <w:rPr>
          <w:rFonts w:eastAsiaTheme="minorHAnsi" w:cs="Arial"/>
        </w:rPr>
        <w:t>oH</w:t>
      </w:r>
      <w:r w:rsidRPr="00A47DDE">
        <w:rPr>
          <w:rFonts w:eastAsiaTheme="minorHAnsi" w:cs="Arial"/>
        </w:rPr>
        <w:t>.</w:t>
      </w:r>
    </w:p>
    <w:p w14:paraId="01E895E2" w14:textId="77777777" w:rsidR="00E445E7" w:rsidRDefault="00E445E7" w:rsidP="00353EDE">
      <w:pPr>
        <w:pStyle w:val="Heading1"/>
      </w:pPr>
      <w:bookmarkStart w:id="18" w:name="_Toc106196269"/>
      <w:r>
        <w:t>Meetings</w:t>
      </w:r>
      <w:bookmarkEnd w:id="18"/>
    </w:p>
    <w:p w14:paraId="52CAA47D" w14:textId="77777777" w:rsidR="00E445E7" w:rsidRDefault="00E445E7" w:rsidP="004609AD">
      <w:pPr>
        <w:pStyle w:val="Heading2"/>
        <w:numPr>
          <w:ilvl w:val="1"/>
          <w:numId w:val="9"/>
        </w:numPr>
      </w:pPr>
      <w:bookmarkStart w:id="19" w:name="_Toc106196270"/>
      <w:r>
        <w:t>Frequency of Meetings</w:t>
      </w:r>
      <w:bookmarkEnd w:id="19"/>
    </w:p>
    <w:p w14:paraId="431541C1" w14:textId="1D380A95" w:rsidR="00255EEE" w:rsidRPr="00A47DDE" w:rsidRDefault="00255EEE" w:rsidP="00255EEE">
      <w:pPr>
        <w:spacing w:after="100" w:afterAutospacing="1"/>
        <w:rPr>
          <w:rFonts w:eastAsiaTheme="minorHAnsi" w:cs="Vaud-Light"/>
        </w:rPr>
      </w:pPr>
      <w:r w:rsidRPr="00A47DDE">
        <w:rPr>
          <w:rFonts w:eastAsiaTheme="minorHAnsi" w:cs="Vaud-Bold"/>
          <w:bCs/>
        </w:rPr>
        <w:t xml:space="preserve">The </w:t>
      </w:r>
      <w:r w:rsidRPr="00A47DDE">
        <w:t>Senate</w:t>
      </w:r>
      <w:r w:rsidRPr="00A47DDE">
        <w:rPr>
          <w:rFonts w:eastAsiaTheme="minorHAnsi" w:cs="Vaud-Bold"/>
          <w:bCs/>
        </w:rPr>
        <w:t xml:space="preserve"> will m</w:t>
      </w:r>
      <w:r w:rsidRPr="00A47DDE">
        <w:rPr>
          <w:rFonts w:eastAsiaTheme="minorHAnsi" w:cs="Vaud-Light"/>
        </w:rPr>
        <w:t>eet</w:t>
      </w:r>
      <w:r>
        <w:rPr>
          <w:rFonts w:eastAsiaTheme="minorHAnsi" w:cs="Vaud-Light"/>
        </w:rPr>
        <w:t xml:space="preserve"> at least</w:t>
      </w:r>
      <w:r w:rsidRPr="00A47DDE">
        <w:rPr>
          <w:rFonts w:eastAsiaTheme="minorHAnsi" w:cs="Vaud-Light"/>
        </w:rPr>
        <w:t xml:space="preserve"> three times per year. Additional meetings may be convened by the Chair if necessary, and subject to adequate notice.</w:t>
      </w:r>
    </w:p>
    <w:p w14:paraId="21885AA3" w14:textId="77777777" w:rsidR="00255EEE" w:rsidRPr="00A47DDE" w:rsidRDefault="00255EEE" w:rsidP="00255EEE">
      <w:pPr>
        <w:spacing w:after="100" w:afterAutospacing="1"/>
      </w:pPr>
      <w:r w:rsidRPr="00A47DDE">
        <w:t>Periodically members may be asked to attend workshops, conferences and teleconferences.</w:t>
      </w:r>
    </w:p>
    <w:p w14:paraId="227C7897" w14:textId="77777777" w:rsidR="007458AC" w:rsidRDefault="00806C70" w:rsidP="004609AD">
      <w:pPr>
        <w:pStyle w:val="Heading2"/>
        <w:numPr>
          <w:ilvl w:val="1"/>
          <w:numId w:val="9"/>
        </w:numPr>
      </w:pPr>
      <w:bookmarkStart w:id="20" w:name="_Toc106196271"/>
      <w:r>
        <w:t>Notice of Meetings</w:t>
      </w:r>
      <w:bookmarkEnd w:id="20"/>
    </w:p>
    <w:p w14:paraId="1C2B03DC" w14:textId="09FAB2F9" w:rsidR="00255EEE" w:rsidRPr="00A47DDE" w:rsidRDefault="00255EEE" w:rsidP="00255EEE">
      <w:pPr>
        <w:autoSpaceDE w:val="0"/>
        <w:autoSpaceDN w:val="0"/>
        <w:adjustRightInd w:val="0"/>
        <w:spacing w:after="100" w:afterAutospacing="1"/>
        <w:rPr>
          <w:rFonts w:eastAsiaTheme="minorHAnsi" w:cs="Vaud-Light"/>
        </w:rPr>
      </w:pPr>
      <w:r w:rsidRPr="00A47DDE">
        <w:rPr>
          <w:rFonts w:eastAsiaTheme="minorHAnsi" w:cs="Vaud-Light"/>
        </w:rPr>
        <w:t xml:space="preserve">The Chair may call a meeting if required by the Chair or Chief Executive. A notice of each meeting confirming the date, time, venue and agenda will be forwarded to each member of the </w:t>
      </w:r>
      <w:r w:rsidRPr="00A47DDE">
        <w:t>Senate</w:t>
      </w:r>
      <w:r w:rsidRPr="00A47DDE">
        <w:rPr>
          <w:rFonts w:eastAsiaTheme="minorHAnsi" w:cs="Vaud-Light"/>
        </w:rPr>
        <w:t xml:space="preserve"> as soon as practicable prior to the meeting date.</w:t>
      </w:r>
    </w:p>
    <w:p w14:paraId="393FE1F1" w14:textId="77777777" w:rsidR="00255EEE" w:rsidRPr="00A47DDE" w:rsidRDefault="00255EEE" w:rsidP="00255EEE">
      <w:pPr>
        <w:autoSpaceDE w:val="0"/>
        <w:autoSpaceDN w:val="0"/>
        <w:adjustRightInd w:val="0"/>
        <w:spacing w:after="100" w:afterAutospacing="1"/>
        <w:rPr>
          <w:rFonts w:eastAsiaTheme="minorHAnsi" w:cs="Vaud-Light"/>
        </w:rPr>
      </w:pPr>
      <w:r w:rsidRPr="00A47DDE">
        <w:t>Senate</w:t>
      </w:r>
      <w:r w:rsidRPr="00A47DDE">
        <w:rPr>
          <w:rFonts w:eastAsiaTheme="minorHAnsi" w:cs="Vaud-Light"/>
        </w:rPr>
        <w:t xml:space="preserve"> meetings may be permitted to be held other than in person on consent by members.</w:t>
      </w:r>
    </w:p>
    <w:p w14:paraId="3D4FA0EE" w14:textId="77777777" w:rsidR="00806C70" w:rsidRDefault="00806C70" w:rsidP="004609AD">
      <w:pPr>
        <w:pStyle w:val="Heading2"/>
        <w:numPr>
          <w:ilvl w:val="1"/>
          <w:numId w:val="9"/>
        </w:numPr>
      </w:pPr>
      <w:bookmarkStart w:id="21" w:name="_Toc106196272"/>
      <w:r>
        <w:lastRenderedPageBreak/>
        <w:t>Quorum</w:t>
      </w:r>
      <w:bookmarkEnd w:id="21"/>
    </w:p>
    <w:p w14:paraId="32DD9CF5" w14:textId="20E2AB3E" w:rsidR="00255EEE" w:rsidRPr="004609AD" w:rsidRDefault="000029E1" w:rsidP="00BB0901">
      <w:pPr>
        <w:autoSpaceDE w:val="0"/>
        <w:autoSpaceDN w:val="0"/>
        <w:adjustRightInd w:val="0"/>
        <w:spacing w:after="100" w:afterAutospacing="1"/>
        <w:rPr>
          <w:rFonts w:eastAsiaTheme="minorHAnsi" w:cs="Vaud-Light"/>
        </w:rPr>
      </w:pPr>
      <w:r w:rsidRPr="004609AD">
        <w:rPr>
          <w:rFonts w:eastAsiaTheme="minorHAnsi" w:cs="Vaud-Light"/>
        </w:rPr>
        <w:t xml:space="preserve">A quorum for a meeting of the Senate is </w:t>
      </w:r>
      <w:r w:rsidR="00255EEE" w:rsidRPr="004609AD">
        <w:rPr>
          <w:rFonts w:eastAsiaTheme="minorHAnsi" w:cs="Vaud-Light"/>
        </w:rPr>
        <w:t xml:space="preserve">50% of members plus </w:t>
      </w:r>
      <w:r w:rsidR="006F3FBD" w:rsidRPr="004609AD">
        <w:rPr>
          <w:rFonts w:eastAsiaTheme="minorHAnsi" w:cs="Vaud-Light"/>
        </w:rPr>
        <w:t>one</w:t>
      </w:r>
      <w:r w:rsidR="00255EEE" w:rsidRPr="004609AD">
        <w:rPr>
          <w:rFonts w:eastAsiaTheme="minorHAnsi" w:cs="Vaud-Light"/>
        </w:rPr>
        <w:t>.</w:t>
      </w:r>
    </w:p>
    <w:p w14:paraId="47A5DD0C" w14:textId="5317F12B" w:rsidR="00806C70" w:rsidRPr="00806C70" w:rsidRDefault="000029E1" w:rsidP="004609AD">
      <w:pPr>
        <w:pStyle w:val="Heading2"/>
        <w:numPr>
          <w:ilvl w:val="1"/>
          <w:numId w:val="9"/>
        </w:numPr>
      </w:pPr>
      <w:bookmarkStart w:id="22" w:name="_Toc106196273"/>
      <w:r>
        <w:t>Privacy and c</w:t>
      </w:r>
      <w:r w:rsidR="00255EEE">
        <w:t>onfidentiality</w:t>
      </w:r>
      <w:bookmarkEnd w:id="22"/>
    </w:p>
    <w:p w14:paraId="411DE54F" w14:textId="77777777" w:rsidR="00255EEE" w:rsidRPr="00255EEE" w:rsidRDefault="00255EEE" w:rsidP="00BB0901">
      <w:pPr>
        <w:autoSpaceDE w:val="0"/>
        <w:autoSpaceDN w:val="0"/>
        <w:adjustRightInd w:val="0"/>
        <w:spacing w:after="100" w:afterAutospacing="1"/>
        <w:rPr>
          <w:rFonts w:eastAsiaTheme="minorHAnsi" w:cs="Arial"/>
        </w:rPr>
      </w:pPr>
      <w:r w:rsidRPr="00255EEE">
        <w:rPr>
          <w:rFonts w:eastAsiaTheme="minorHAnsi" w:cs="Arial"/>
        </w:rPr>
        <w:t xml:space="preserve">In some instances, members may be privy to information that is confidential and not in the public domain. </w:t>
      </w:r>
    </w:p>
    <w:p w14:paraId="32F2DA45" w14:textId="3E41F278" w:rsidR="00255EEE" w:rsidRPr="00255EEE" w:rsidRDefault="00255EEE" w:rsidP="00BB0901">
      <w:pPr>
        <w:autoSpaceDE w:val="0"/>
        <w:autoSpaceDN w:val="0"/>
        <w:adjustRightInd w:val="0"/>
        <w:spacing w:after="100" w:afterAutospacing="1"/>
        <w:rPr>
          <w:rFonts w:eastAsiaTheme="minorHAnsi" w:cs="Arial"/>
        </w:rPr>
      </w:pPr>
      <w:r w:rsidRPr="00255EEE">
        <w:rPr>
          <w:rFonts w:eastAsiaTheme="minorHAnsi" w:cs="Arial"/>
        </w:rPr>
        <w:t xml:space="preserve">As such members will not reveal any confidential or proprietary information entrusted in the course of their duties. Upon cessation of membership and thereafter, the member will not reveal any confidential information obtained while a member of the </w:t>
      </w:r>
      <w:r w:rsidRPr="00A47DDE">
        <w:t>Senate</w:t>
      </w:r>
      <w:r w:rsidRPr="00255EEE">
        <w:rPr>
          <w:rFonts w:eastAsiaTheme="minorHAnsi" w:cs="Arial"/>
        </w:rPr>
        <w:t>, and may not use, retain or attempt to use or retain, any such information, documents or data.</w:t>
      </w:r>
    </w:p>
    <w:p w14:paraId="29AC695A" w14:textId="1C424301" w:rsidR="00255EEE" w:rsidRPr="00255EEE" w:rsidRDefault="00255EEE" w:rsidP="00BB0901">
      <w:pPr>
        <w:autoSpaceDE w:val="0"/>
        <w:autoSpaceDN w:val="0"/>
        <w:adjustRightInd w:val="0"/>
        <w:spacing w:after="100" w:afterAutospacing="1"/>
        <w:rPr>
          <w:rFonts w:eastAsiaTheme="minorHAnsi" w:cs="Arial"/>
        </w:rPr>
      </w:pPr>
      <w:r w:rsidRPr="00255EEE">
        <w:rPr>
          <w:rFonts w:eastAsiaTheme="minorHAnsi" w:cs="Arial"/>
        </w:rPr>
        <w:t xml:space="preserve">The Chair will advise of confidentiality aspects as they arise. Members are to clearly indicate if information </w:t>
      </w:r>
      <w:r w:rsidR="000029E1">
        <w:rPr>
          <w:rFonts w:eastAsiaTheme="minorHAnsi" w:cs="Arial"/>
        </w:rPr>
        <w:t xml:space="preserve">brought to </w:t>
      </w:r>
      <w:r w:rsidRPr="00255EEE">
        <w:rPr>
          <w:rFonts w:eastAsiaTheme="minorHAnsi" w:cs="Arial"/>
        </w:rPr>
        <w:t xml:space="preserve">the </w:t>
      </w:r>
      <w:r w:rsidRPr="00A47DDE">
        <w:t xml:space="preserve">Senate </w:t>
      </w:r>
      <w:r w:rsidRPr="00255EEE">
        <w:rPr>
          <w:rFonts w:eastAsiaTheme="minorHAnsi" w:cs="Arial"/>
        </w:rPr>
        <w:t>is confidential. In such circumstances, all members acknowledge their responsibility to maintain the confidentiality of associated disclosed material.</w:t>
      </w:r>
      <w:r w:rsidR="0096264D">
        <w:rPr>
          <w:rFonts w:eastAsiaTheme="minorHAnsi" w:cs="Arial"/>
        </w:rPr>
        <w:t xml:space="preserve"> Use of </w:t>
      </w:r>
      <w:r w:rsidR="000029E1">
        <w:rPr>
          <w:rFonts w:eastAsiaTheme="minorHAnsi" w:cs="Arial"/>
        </w:rPr>
        <w:t>‘</w:t>
      </w:r>
      <w:r w:rsidR="0096264D">
        <w:rPr>
          <w:rFonts w:eastAsiaTheme="minorHAnsi" w:cs="Arial"/>
        </w:rPr>
        <w:t>c</w:t>
      </w:r>
      <w:r w:rsidR="000029E1">
        <w:rPr>
          <w:rFonts w:eastAsiaTheme="minorHAnsi" w:cs="Arial"/>
        </w:rPr>
        <w:t xml:space="preserve">onfidential’ watermarks </w:t>
      </w:r>
      <w:r w:rsidR="0096264D">
        <w:rPr>
          <w:rFonts w:eastAsiaTheme="minorHAnsi" w:cs="Arial"/>
        </w:rPr>
        <w:t xml:space="preserve">should be considered on relevant </w:t>
      </w:r>
      <w:r w:rsidR="000029E1">
        <w:rPr>
          <w:rFonts w:eastAsiaTheme="minorHAnsi" w:cs="Arial"/>
        </w:rPr>
        <w:t>docu</w:t>
      </w:r>
      <w:r w:rsidR="0096264D">
        <w:rPr>
          <w:rFonts w:eastAsiaTheme="minorHAnsi" w:cs="Arial"/>
        </w:rPr>
        <w:t>ments.</w:t>
      </w:r>
    </w:p>
    <w:p w14:paraId="565264D4" w14:textId="4345389A" w:rsidR="00255EEE" w:rsidRDefault="00255EEE" w:rsidP="00BB0901">
      <w:pPr>
        <w:autoSpaceDE w:val="0"/>
        <w:autoSpaceDN w:val="0"/>
        <w:adjustRightInd w:val="0"/>
        <w:spacing w:after="100" w:afterAutospacing="1"/>
        <w:rPr>
          <w:rFonts w:eastAsiaTheme="minorHAnsi" w:cs="Arial"/>
        </w:rPr>
      </w:pPr>
      <w:r w:rsidRPr="00255EEE">
        <w:rPr>
          <w:rFonts w:eastAsiaTheme="minorHAnsi" w:cs="Arial"/>
        </w:rPr>
        <w:t xml:space="preserve">All papers produced by the </w:t>
      </w:r>
      <w:r w:rsidRPr="00A47DDE">
        <w:t>Senate</w:t>
      </w:r>
      <w:r w:rsidRPr="00255EEE">
        <w:rPr>
          <w:rFonts w:eastAsiaTheme="minorHAnsi" w:cs="Arial"/>
        </w:rPr>
        <w:t xml:space="preserve"> are for the</w:t>
      </w:r>
      <w:r w:rsidR="000029E1">
        <w:rPr>
          <w:rFonts w:eastAsiaTheme="minorHAnsi" w:cs="Arial"/>
        </w:rPr>
        <w:t xml:space="preserve"> exclusive use of the Senate members for Senate business. The Chair must approve the public release of </w:t>
      </w:r>
      <w:r w:rsidRPr="00255EEE">
        <w:rPr>
          <w:rFonts w:eastAsiaTheme="minorHAnsi" w:cs="Arial"/>
        </w:rPr>
        <w:t xml:space="preserve">any information relating to </w:t>
      </w:r>
      <w:r w:rsidRPr="00A47DDE">
        <w:t>Senate</w:t>
      </w:r>
      <w:r w:rsidRPr="00255EEE">
        <w:rPr>
          <w:rFonts w:eastAsiaTheme="minorHAnsi" w:cs="Arial"/>
        </w:rPr>
        <w:t xml:space="preserve"> matter</w:t>
      </w:r>
      <w:r w:rsidR="000029E1">
        <w:rPr>
          <w:rFonts w:eastAsiaTheme="minorHAnsi" w:cs="Arial"/>
        </w:rPr>
        <w:t>s.</w:t>
      </w:r>
    </w:p>
    <w:p w14:paraId="54AB5B92" w14:textId="77777777" w:rsidR="00255EEE" w:rsidRDefault="00255EEE" w:rsidP="004609AD">
      <w:pPr>
        <w:pStyle w:val="Heading2"/>
        <w:numPr>
          <w:ilvl w:val="1"/>
          <w:numId w:val="9"/>
        </w:numPr>
      </w:pPr>
      <w:bookmarkStart w:id="23" w:name="_Toc106196274"/>
      <w:r>
        <w:t>Code of conduct</w:t>
      </w:r>
      <w:bookmarkEnd w:id="23"/>
    </w:p>
    <w:p w14:paraId="4CE4BFD6" w14:textId="77777777" w:rsidR="00255EEE" w:rsidRPr="00A47DDE" w:rsidRDefault="00255EEE" w:rsidP="00255EEE">
      <w:pPr>
        <w:autoSpaceDE w:val="0"/>
        <w:autoSpaceDN w:val="0"/>
        <w:adjustRightInd w:val="0"/>
        <w:rPr>
          <w:rFonts w:eastAsiaTheme="minorHAnsi" w:cs="Arial"/>
        </w:rPr>
      </w:pPr>
      <w:r w:rsidRPr="00A47DDE">
        <w:rPr>
          <w:rFonts w:eastAsiaTheme="minorHAnsi" w:cs="Arial"/>
        </w:rPr>
        <w:t>Senate members are expected to discharge their duties with care and diligence and uphold the operating principles and adhere to its Code of Conduct as follows:</w:t>
      </w:r>
    </w:p>
    <w:p w14:paraId="73E87C60" w14:textId="77777777" w:rsidR="0096264D" w:rsidRPr="00A47DDE" w:rsidRDefault="00255EEE" w:rsidP="0096264D">
      <w:pPr>
        <w:pStyle w:val="ListParagraph"/>
        <w:numPr>
          <w:ilvl w:val="0"/>
          <w:numId w:val="31"/>
        </w:numPr>
        <w:autoSpaceDE w:val="0"/>
        <w:autoSpaceDN w:val="0"/>
        <w:adjustRightInd w:val="0"/>
        <w:ind w:left="850" w:right="679" w:hanging="357"/>
        <w:rPr>
          <w:rFonts w:eastAsiaTheme="minorHAnsi" w:cs="Arial"/>
          <w:bCs/>
        </w:rPr>
      </w:pPr>
      <w:r w:rsidRPr="00A47DDE">
        <w:rPr>
          <w:rFonts w:eastAsiaTheme="minorHAnsi" w:cs="Arial"/>
          <w:bCs/>
        </w:rPr>
        <w:t xml:space="preserve">All papers produced by the </w:t>
      </w:r>
      <w:r w:rsidRPr="00A47DDE">
        <w:t xml:space="preserve">Senate are </w:t>
      </w:r>
      <w:r w:rsidRPr="00A47DDE">
        <w:rPr>
          <w:rFonts w:eastAsiaTheme="minorHAnsi" w:cs="Arial"/>
          <w:bCs/>
        </w:rPr>
        <w:t>confidential.</w:t>
      </w:r>
      <w:r w:rsidR="0096264D">
        <w:rPr>
          <w:rFonts w:eastAsiaTheme="minorHAnsi" w:cs="Arial"/>
          <w:bCs/>
        </w:rPr>
        <w:t xml:space="preserve"> </w:t>
      </w:r>
      <w:r w:rsidR="0096264D" w:rsidRPr="00A47DDE">
        <w:rPr>
          <w:rFonts w:eastAsiaTheme="minorHAnsi" w:cs="Arial"/>
          <w:bCs/>
        </w:rPr>
        <w:t xml:space="preserve">Members </w:t>
      </w:r>
      <w:r w:rsidR="0096264D">
        <w:rPr>
          <w:rFonts w:eastAsiaTheme="minorHAnsi" w:cs="Arial"/>
          <w:bCs/>
        </w:rPr>
        <w:t xml:space="preserve">must </w:t>
      </w:r>
      <w:r w:rsidR="0096264D" w:rsidRPr="00A47DDE">
        <w:rPr>
          <w:rFonts w:eastAsiaTheme="minorHAnsi" w:cs="Arial"/>
          <w:bCs/>
        </w:rPr>
        <w:t xml:space="preserve">not </w:t>
      </w:r>
      <w:r w:rsidR="0096264D">
        <w:rPr>
          <w:rFonts w:eastAsiaTheme="minorHAnsi" w:cs="Arial"/>
          <w:bCs/>
        </w:rPr>
        <w:t xml:space="preserve">publicly </w:t>
      </w:r>
      <w:r w:rsidR="0096264D" w:rsidRPr="00A47DDE">
        <w:rPr>
          <w:rFonts w:eastAsiaTheme="minorHAnsi" w:cs="Arial"/>
          <w:bCs/>
        </w:rPr>
        <w:t>disclose any information identified as confidential.</w:t>
      </w:r>
    </w:p>
    <w:p w14:paraId="6985BE2F" w14:textId="75BF2ED5" w:rsidR="00255EEE" w:rsidRPr="00A47DDE" w:rsidRDefault="00255EEE" w:rsidP="000029E1">
      <w:pPr>
        <w:pStyle w:val="ListParagraph"/>
        <w:numPr>
          <w:ilvl w:val="0"/>
          <w:numId w:val="31"/>
        </w:numPr>
        <w:autoSpaceDE w:val="0"/>
        <w:autoSpaceDN w:val="0"/>
        <w:adjustRightInd w:val="0"/>
        <w:ind w:left="850" w:right="679" w:hanging="357"/>
        <w:rPr>
          <w:rFonts w:eastAsiaTheme="minorHAnsi" w:cs="Arial"/>
          <w:bCs/>
        </w:rPr>
      </w:pPr>
      <w:r w:rsidRPr="00A47DDE">
        <w:rPr>
          <w:rFonts w:eastAsiaTheme="minorHAnsi" w:cs="Arial"/>
          <w:bCs/>
        </w:rPr>
        <w:t xml:space="preserve">Members </w:t>
      </w:r>
      <w:r w:rsidR="0096264D">
        <w:rPr>
          <w:rFonts w:eastAsiaTheme="minorHAnsi" w:cs="Arial"/>
          <w:bCs/>
        </w:rPr>
        <w:t xml:space="preserve">must </w:t>
      </w:r>
      <w:r w:rsidRPr="00A47DDE">
        <w:rPr>
          <w:rFonts w:eastAsiaTheme="minorHAnsi" w:cs="Arial"/>
          <w:bCs/>
        </w:rPr>
        <w:t xml:space="preserve">not make any inappropriate use of information </w:t>
      </w:r>
      <w:r w:rsidR="0096264D">
        <w:rPr>
          <w:rFonts w:eastAsiaTheme="minorHAnsi" w:cs="Arial"/>
          <w:bCs/>
        </w:rPr>
        <w:t xml:space="preserve">or advice </w:t>
      </w:r>
      <w:r w:rsidRPr="00A47DDE">
        <w:rPr>
          <w:rFonts w:eastAsiaTheme="minorHAnsi" w:cs="Arial"/>
          <w:bCs/>
        </w:rPr>
        <w:t xml:space="preserve">discussed at the </w:t>
      </w:r>
      <w:r w:rsidRPr="00A47DDE">
        <w:t>Senate</w:t>
      </w:r>
      <w:r w:rsidRPr="00A47DDE">
        <w:rPr>
          <w:rFonts w:eastAsiaTheme="minorHAnsi" w:cs="Arial"/>
          <w:bCs/>
        </w:rPr>
        <w:t>.</w:t>
      </w:r>
    </w:p>
    <w:p w14:paraId="40C8CAD1" w14:textId="2230EAB3" w:rsidR="00255EEE" w:rsidRPr="00A47DDE" w:rsidRDefault="00255EEE" w:rsidP="000029E1">
      <w:pPr>
        <w:pStyle w:val="ListParagraph"/>
        <w:numPr>
          <w:ilvl w:val="0"/>
          <w:numId w:val="31"/>
        </w:numPr>
        <w:autoSpaceDE w:val="0"/>
        <w:autoSpaceDN w:val="0"/>
        <w:adjustRightInd w:val="0"/>
        <w:ind w:left="850" w:right="679" w:hanging="357"/>
        <w:rPr>
          <w:rFonts w:eastAsiaTheme="minorHAnsi" w:cs="Arial"/>
          <w:bCs/>
        </w:rPr>
      </w:pPr>
      <w:r w:rsidRPr="00A47DDE">
        <w:rPr>
          <w:rFonts w:eastAsiaTheme="minorHAnsi" w:cs="Arial"/>
          <w:bCs/>
        </w:rPr>
        <w:t xml:space="preserve">All information to be made publicly available relating to </w:t>
      </w:r>
      <w:r w:rsidRPr="00A47DDE">
        <w:t>Senate</w:t>
      </w:r>
      <w:r w:rsidRPr="00A47DDE">
        <w:rPr>
          <w:rFonts w:eastAsiaTheme="minorHAnsi" w:cs="Arial"/>
          <w:bCs/>
        </w:rPr>
        <w:t xml:space="preserve"> matters must be approved by the Chair.</w:t>
      </w:r>
    </w:p>
    <w:p w14:paraId="72197ABB" w14:textId="77777777" w:rsidR="00255EEE" w:rsidRPr="00A47DDE" w:rsidRDefault="00255EEE" w:rsidP="000029E1">
      <w:pPr>
        <w:pStyle w:val="ListParagraph"/>
        <w:numPr>
          <w:ilvl w:val="0"/>
          <w:numId w:val="31"/>
        </w:numPr>
        <w:autoSpaceDE w:val="0"/>
        <w:autoSpaceDN w:val="0"/>
        <w:adjustRightInd w:val="0"/>
        <w:spacing w:after="100" w:afterAutospacing="1"/>
        <w:ind w:left="851" w:right="679"/>
        <w:contextualSpacing/>
        <w:rPr>
          <w:rFonts w:eastAsiaTheme="minorHAnsi" w:cs="Arial"/>
        </w:rPr>
      </w:pPr>
      <w:r w:rsidRPr="00A47DDE">
        <w:rPr>
          <w:rFonts w:eastAsiaTheme="minorHAnsi" w:cs="Arial"/>
          <w:bCs/>
        </w:rPr>
        <w:t>Members should disclose any real or perceived conflicts of interest before each meeting.</w:t>
      </w:r>
    </w:p>
    <w:p w14:paraId="78ED7F88" w14:textId="77777777" w:rsidR="00255EEE" w:rsidRDefault="00255EEE" w:rsidP="004609AD">
      <w:pPr>
        <w:pStyle w:val="Heading2"/>
        <w:numPr>
          <w:ilvl w:val="1"/>
          <w:numId w:val="9"/>
        </w:numPr>
      </w:pPr>
      <w:bookmarkStart w:id="24" w:name="_Toc106196275"/>
      <w:r>
        <w:t>Invitees</w:t>
      </w:r>
      <w:bookmarkEnd w:id="24"/>
    </w:p>
    <w:p w14:paraId="4A428CED" w14:textId="77777777" w:rsidR="00255EEE" w:rsidRPr="00255EEE" w:rsidRDefault="00255EEE" w:rsidP="00BB0901">
      <w:pPr>
        <w:autoSpaceDE w:val="0"/>
        <w:autoSpaceDN w:val="0"/>
        <w:adjustRightInd w:val="0"/>
        <w:spacing w:after="100" w:afterAutospacing="1"/>
        <w:rPr>
          <w:rFonts w:eastAsiaTheme="minorHAnsi" w:cs="Vaud-Light"/>
        </w:rPr>
      </w:pPr>
      <w:r w:rsidRPr="00255EEE">
        <w:rPr>
          <w:rFonts w:eastAsiaTheme="minorHAnsi" w:cs="Vaud-Light"/>
        </w:rPr>
        <w:t xml:space="preserve">Any invitee of the Chair or </w:t>
      </w:r>
      <w:r w:rsidRPr="00A47DDE">
        <w:t>Senate</w:t>
      </w:r>
      <w:r w:rsidRPr="00255EEE">
        <w:rPr>
          <w:rFonts w:eastAsiaTheme="minorHAnsi" w:cs="Vaud-Light"/>
        </w:rPr>
        <w:t xml:space="preserve"> member (subject to prior agreement by the Chair) may attend and speak at the meeting. </w:t>
      </w:r>
    </w:p>
    <w:p w14:paraId="0CE780F7" w14:textId="51B599A2" w:rsidR="00806C70" w:rsidRPr="00255EEE" w:rsidRDefault="00255EEE" w:rsidP="004609AD">
      <w:pPr>
        <w:pStyle w:val="Heading2"/>
        <w:numPr>
          <w:ilvl w:val="1"/>
          <w:numId w:val="9"/>
        </w:numPr>
      </w:pPr>
      <w:bookmarkStart w:id="25" w:name="_Toc106196276"/>
      <w:r w:rsidRPr="00255EEE">
        <w:t>Remuneratio</w:t>
      </w:r>
      <w:r w:rsidR="00293AEE">
        <w:t>n</w:t>
      </w:r>
      <w:bookmarkEnd w:id="25"/>
    </w:p>
    <w:p w14:paraId="284B4D16" w14:textId="32D03FEB" w:rsidR="00255EEE" w:rsidRDefault="00972E0B" w:rsidP="00F65271">
      <w:pPr>
        <w:spacing w:after="100" w:afterAutospacing="1"/>
      </w:pPr>
      <w:r>
        <w:t>DoH</w:t>
      </w:r>
      <w:r w:rsidR="00255EEE" w:rsidRPr="00255EEE">
        <w:t xml:space="preserve"> provides a venue for the meetings and provides teleconferencing or videoconferencing options for members who are unable to attend meetings in person.</w:t>
      </w:r>
    </w:p>
    <w:p w14:paraId="331941A9" w14:textId="7F94CBB7" w:rsidR="00293AEE" w:rsidRDefault="00293AEE" w:rsidP="00F65271">
      <w:pPr>
        <w:spacing w:after="100" w:afterAutospacing="1"/>
      </w:pPr>
      <w:r>
        <w:t>Public sector employees ar</w:t>
      </w:r>
      <w:r w:rsidR="0096264D">
        <w:t>e not entitled to remuneration. T</w:t>
      </w:r>
      <w:r>
        <w:t xml:space="preserve">heir </w:t>
      </w:r>
      <w:r w:rsidR="00312F91">
        <w:t xml:space="preserve">board </w:t>
      </w:r>
      <w:r>
        <w:t xml:space="preserve">travel </w:t>
      </w:r>
      <w:r w:rsidR="00DE7624">
        <w:t xml:space="preserve">is conducted in line with the NTG Travel Policy Framework. </w:t>
      </w:r>
    </w:p>
    <w:p w14:paraId="6BD91829" w14:textId="13C038EA" w:rsidR="00DE7624" w:rsidRDefault="00293AEE" w:rsidP="00F65271">
      <w:pPr>
        <w:spacing w:after="100" w:afterAutospacing="1"/>
      </w:pPr>
      <w:r>
        <w:lastRenderedPageBreak/>
        <w:t>Remuneration approved by the Minister on 3</w:t>
      </w:r>
      <w:r w:rsidR="00DE7624">
        <w:t>0</w:t>
      </w:r>
      <w:r>
        <w:t xml:space="preserve"> August 2019 includes </w:t>
      </w:r>
      <w:r w:rsidR="007734BD">
        <w:t xml:space="preserve">sitting fees </w:t>
      </w:r>
      <w:r w:rsidR="00DE7624">
        <w:t>at a rate equivalent to a Class C2 Advisory and Review Body (expert high impact)</w:t>
      </w:r>
      <w:r>
        <w:t>,</w:t>
      </w:r>
      <w:r w:rsidR="00DE7624">
        <w:t xml:space="preserve"> travelling allowance and expenses associated with the b</w:t>
      </w:r>
      <w:r>
        <w:t>usiness of the body</w:t>
      </w:r>
      <w:r w:rsidR="00DE7624">
        <w:t>. Business of the body conducted outside of meetings requires the Chair’s prior approval</w:t>
      </w:r>
      <w:r w:rsidR="00F65271">
        <w:t>.</w:t>
      </w:r>
    </w:p>
    <w:p w14:paraId="0280CE91" w14:textId="105CFC19" w:rsidR="007734BD" w:rsidRDefault="007734BD" w:rsidP="00F65271">
      <w:pPr>
        <w:spacing w:after="100" w:afterAutospacing="1"/>
      </w:pPr>
      <w:r>
        <w:rPr>
          <w:i/>
        </w:rPr>
        <w:t xml:space="preserve">Business </w:t>
      </w:r>
      <w:r>
        <w:t xml:space="preserve">of a body, means any business of the body conducted by a member </w:t>
      </w:r>
      <w:r w:rsidR="00F65271">
        <w:t>with</w:t>
      </w:r>
      <w:r>
        <w:t xml:space="preserve"> the body’s prior approval, other than attendance at, or preparation for a meeting of the body.  </w:t>
      </w:r>
    </w:p>
    <w:p w14:paraId="6579CEA5" w14:textId="1C03EC58" w:rsidR="003B51C6" w:rsidRDefault="007734BD" w:rsidP="00512572">
      <w:r>
        <w:t>Members who use their private vehicles to attend meetings of conduct board business are required to complete an a</w:t>
      </w:r>
      <w:r w:rsidR="0096264D">
        <w:t xml:space="preserve">pplication and indemnity form. </w:t>
      </w:r>
    </w:p>
    <w:p w14:paraId="0CF97207" w14:textId="77777777" w:rsidR="00570C40" w:rsidRDefault="00255EEE" w:rsidP="004609AD">
      <w:pPr>
        <w:pStyle w:val="Heading2"/>
        <w:numPr>
          <w:ilvl w:val="1"/>
          <w:numId w:val="9"/>
        </w:numPr>
      </w:pPr>
      <w:bookmarkStart w:id="26" w:name="_Toc106196277"/>
      <w:r>
        <w:t>Evaluation and Review</w:t>
      </w:r>
      <w:bookmarkEnd w:id="26"/>
    </w:p>
    <w:p w14:paraId="5898211A" w14:textId="20AE31FB" w:rsidR="00255EEE" w:rsidRPr="00A47DDE" w:rsidRDefault="00255EEE" w:rsidP="00255EEE">
      <w:pPr>
        <w:autoSpaceDE w:val="0"/>
        <w:autoSpaceDN w:val="0"/>
        <w:adjustRightInd w:val="0"/>
        <w:spacing w:after="100" w:afterAutospacing="1"/>
        <w:rPr>
          <w:rFonts w:eastAsiaTheme="minorHAnsi" w:cs="Arial"/>
        </w:rPr>
      </w:pPr>
      <w:r w:rsidRPr="00A47DDE">
        <w:rPr>
          <w:rFonts w:eastAsiaTheme="minorHAnsi" w:cs="Arial"/>
        </w:rPr>
        <w:t xml:space="preserve">To ensure that the </w:t>
      </w:r>
      <w:r w:rsidRPr="00A47DDE">
        <w:t>Senate</w:t>
      </w:r>
      <w:r w:rsidRPr="00A47DDE">
        <w:rPr>
          <w:rFonts w:eastAsiaTheme="minorHAnsi" w:cs="Arial"/>
        </w:rPr>
        <w:t xml:space="preserve"> is fulfilling its duties, it will undertake an annual assessment of its performance against the Terms of Reference and provide that information to the Chief Executive together with any information the Chief Executive requests to facilitate a review of the </w:t>
      </w:r>
      <w:r w:rsidRPr="00A47DDE">
        <w:t xml:space="preserve">Senate </w:t>
      </w:r>
      <w:r w:rsidRPr="00A47DDE">
        <w:rPr>
          <w:rFonts w:eastAsiaTheme="minorHAnsi" w:cs="Arial"/>
        </w:rPr>
        <w:t>and its membership.</w:t>
      </w:r>
    </w:p>
    <w:p w14:paraId="5F3AC2E0" w14:textId="3FD112EC" w:rsidR="00255EEE" w:rsidRPr="00A47DDE" w:rsidRDefault="00255EEE" w:rsidP="00255EEE">
      <w:pPr>
        <w:autoSpaceDE w:val="0"/>
        <w:autoSpaceDN w:val="0"/>
        <w:adjustRightInd w:val="0"/>
        <w:spacing w:after="100" w:afterAutospacing="1"/>
        <w:rPr>
          <w:rFonts w:eastAsiaTheme="minorHAnsi" w:cs="Arial"/>
        </w:rPr>
      </w:pPr>
      <w:r w:rsidRPr="00A47DDE">
        <w:t xml:space="preserve">Audits of outcomes of recommendations of the Senate and periodic updates on implementation progress should be carried out as required, including reporting by </w:t>
      </w:r>
      <w:r w:rsidR="001E2CC1">
        <w:t xml:space="preserve">the </w:t>
      </w:r>
      <w:r w:rsidR="00972E0B">
        <w:t>h</w:t>
      </w:r>
      <w:r w:rsidRPr="00A47DDE">
        <w:t xml:space="preserve">ealth </w:t>
      </w:r>
      <w:r w:rsidR="00972E0B">
        <w:t>s</w:t>
      </w:r>
      <w:r w:rsidRPr="00A47DDE">
        <w:t>ervice on implementation progress of endorsed recommendations.</w:t>
      </w:r>
    </w:p>
    <w:p w14:paraId="6C5302CF" w14:textId="77777777" w:rsidR="00255EEE" w:rsidRPr="00A47DDE" w:rsidRDefault="00255EEE" w:rsidP="00255EEE">
      <w:pPr>
        <w:autoSpaceDE w:val="0"/>
        <w:autoSpaceDN w:val="0"/>
        <w:adjustRightInd w:val="0"/>
        <w:spacing w:after="100" w:afterAutospacing="1"/>
        <w:rPr>
          <w:rFonts w:eastAsiaTheme="minorHAnsi" w:cs="Arial"/>
        </w:rPr>
      </w:pPr>
      <w:r w:rsidRPr="00A47DDE">
        <w:rPr>
          <w:rFonts w:eastAsiaTheme="minorHAnsi" w:cs="Arial"/>
        </w:rPr>
        <w:t xml:space="preserve">The </w:t>
      </w:r>
      <w:r w:rsidRPr="00A47DDE">
        <w:t>Senate</w:t>
      </w:r>
      <w:r w:rsidRPr="00A47DDE">
        <w:rPr>
          <w:rFonts w:eastAsiaTheme="minorHAnsi" w:cs="Arial"/>
        </w:rPr>
        <w:t xml:space="preserve"> will review its Terms of Reference every two years and provide a report, including any recommendations to the Chief Executive.</w:t>
      </w:r>
    </w:p>
    <w:p w14:paraId="53D282F2" w14:textId="5DB7FF71" w:rsidR="00255EEE" w:rsidRDefault="00255EEE" w:rsidP="004609AD">
      <w:pPr>
        <w:pStyle w:val="Heading2"/>
        <w:numPr>
          <w:ilvl w:val="1"/>
          <w:numId w:val="9"/>
        </w:numPr>
      </w:pPr>
      <w:bookmarkStart w:id="27" w:name="_Toc106196278"/>
      <w:r>
        <w:t>Secretariat</w:t>
      </w:r>
      <w:bookmarkEnd w:id="27"/>
    </w:p>
    <w:p w14:paraId="7D0D4A3E" w14:textId="52CFCB2A" w:rsidR="00255EEE" w:rsidRPr="00A47DDE" w:rsidRDefault="00255EEE" w:rsidP="00255EEE">
      <w:pPr>
        <w:spacing w:after="100" w:afterAutospacing="1"/>
        <w:rPr>
          <w:rFonts w:eastAsiaTheme="minorHAnsi" w:cs="Vaud-Light"/>
        </w:rPr>
      </w:pPr>
      <w:r w:rsidRPr="00A47DDE">
        <w:rPr>
          <w:rFonts w:eastAsiaTheme="minorHAnsi" w:cs="Vaud-Light"/>
        </w:rPr>
        <w:t>Th</w:t>
      </w:r>
      <w:r w:rsidR="0096264D">
        <w:rPr>
          <w:rFonts w:eastAsiaTheme="minorHAnsi" w:cs="Vaud-Light"/>
        </w:rPr>
        <w:t xml:space="preserve">e Secretariat </w:t>
      </w:r>
      <w:r w:rsidRPr="00A47DDE">
        <w:rPr>
          <w:rFonts w:eastAsiaTheme="minorHAnsi" w:cs="Vaud-Light"/>
        </w:rPr>
        <w:t>function</w:t>
      </w:r>
      <w:r w:rsidR="0096264D">
        <w:rPr>
          <w:rFonts w:eastAsiaTheme="minorHAnsi" w:cs="Vaud-Light"/>
        </w:rPr>
        <w:t xml:space="preserve"> is </w:t>
      </w:r>
      <w:r w:rsidRPr="00A47DDE">
        <w:rPr>
          <w:rFonts w:eastAsiaTheme="minorHAnsi" w:cs="Vaud-Light"/>
        </w:rPr>
        <w:t>provided by Clinical Quality and Patient Safety Unit, D</w:t>
      </w:r>
      <w:r w:rsidR="00972E0B">
        <w:rPr>
          <w:rFonts w:eastAsiaTheme="minorHAnsi" w:cs="Vaud-Light"/>
        </w:rPr>
        <w:t>oH</w:t>
      </w:r>
      <w:r w:rsidRPr="00A47DDE">
        <w:rPr>
          <w:rFonts w:eastAsiaTheme="minorHAnsi" w:cs="Vaud-Light"/>
        </w:rPr>
        <w:t>.</w:t>
      </w:r>
      <w:r w:rsidR="0096264D">
        <w:rPr>
          <w:rFonts w:eastAsiaTheme="minorHAnsi" w:cs="Vaud-Light"/>
        </w:rPr>
        <w:t xml:space="preserve"> </w:t>
      </w:r>
      <w:r w:rsidRPr="00A47DDE">
        <w:rPr>
          <w:rFonts w:eastAsiaTheme="minorHAnsi" w:cs="Vaud-Light"/>
        </w:rPr>
        <w:t>The</w:t>
      </w:r>
      <w:r w:rsidR="0096264D">
        <w:rPr>
          <w:rFonts w:eastAsiaTheme="minorHAnsi" w:cs="Vaud-Light"/>
        </w:rPr>
        <w:t>ir responsibilities are listed below:</w:t>
      </w:r>
    </w:p>
    <w:p w14:paraId="01E6192C" w14:textId="4FA685F4" w:rsidR="00255EEE" w:rsidRPr="00A47DDE" w:rsidRDefault="0096264D" w:rsidP="0096264D">
      <w:pPr>
        <w:pStyle w:val="ListParagraph"/>
        <w:numPr>
          <w:ilvl w:val="0"/>
          <w:numId w:val="30"/>
        </w:numPr>
        <w:ind w:left="850" w:right="679" w:hanging="493"/>
        <w:rPr>
          <w:rFonts w:eastAsiaTheme="minorHAnsi" w:cs="Vaud-Bold"/>
          <w:b/>
          <w:bCs/>
        </w:rPr>
      </w:pPr>
      <w:r>
        <w:rPr>
          <w:rFonts w:eastAsiaTheme="minorHAnsi" w:cs="Vaud-Light"/>
        </w:rPr>
        <w:t>P</w:t>
      </w:r>
      <w:r w:rsidR="00255EEE" w:rsidRPr="00A47DDE">
        <w:rPr>
          <w:rFonts w:eastAsiaTheme="minorHAnsi" w:cs="Vaud-Light"/>
        </w:rPr>
        <w:t>repare records, including the agenda, minutes, reports or recommendations</w:t>
      </w:r>
      <w:r>
        <w:rPr>
          <w:rFonts w:eastAsiaTheme="minorHAnsi" w:cs="Vaud-Light"/>
        </w:rPr>
        <w:t>.</w:t>
      </w:r>
    </w:p>
    <w:p w14:paraId="73606F25" w14:textId="6BC4CA68" w:rsidR="00255EEE" w:rsidRPr="00A47DDE" w:rsidRDefault="00255EEE" w:rsidP="0096264D">
      <w:pPr>
        <w:pStyle w:val="ListParagraph"/>
        <w:numPr>
          <w:ilvl w:val="0"/>
          <w:numId w:val="30"/>
        </w:numPr>
        <w:ind w:left="850" w:right="679" w:hanging="493"/>
        <w:rPr>
          <w:rFonts w:eastAsiaTheme="minorHAnsi" w:cs="Vaud-Bold"/>
          <w:b/>
          <w:bCs/>
        </w:rPr>
      </w:pPr>
      <w:r w:rsidRPr="00A47DDE">
        <w:rPr>
          <w:rFonts w:eastAsiaTheme="minorHAnsi" w:cs="Vaud-Light"/>
        </w:rPr>
        <w:t xml:space="preserve">Liaise with the Chair to determine timing and content of the </w:t>
      </w:r>
      <w:r w:rsidRPr="00A47DDE">
        <w:t>Senate</w:t>
      </w:r>
      <w:r w:rsidRPr="00A47DDE">
        <w:rPr>
          <w:rFonts w:eastAsiaTheme="minorHAnsi" w:cs="Vaud-Light"/>
        </w:rPr>
        <w:t xml:space="preserve"> meetings</w:t>
      </w:r>
      <w:r w:rsidR="0096264D">
        <w:rPr>
          <w:rFonts w:eastAsiaTheme="minorHAnsi" w:cs="Vaud-Light"/>
        </w:rPr>
        <w:t>.</w:t>
      </w:r>
    </w:p>
    <w:p w14:paraId="5594C731" w14:textId="39234660" w:rsidR="00255EEE" w:rsidRPr="00A47DDE" w:rsidRDefault="00255EEE" w:rsidP="0096264D">
      <w:pPr>
        <w:pStyle w:val="ListParagraph"/>
        <w:numPr>
          <w:ilvl w:val="0"/>
          <w:numId w:val="30"/>
        </w:numPr>
        <w:ind w:left="850" w:right="679" w:hanging="493"/>
        <w:rPr>
          <w:rFonts w:eastAsiaTheme="minorHAnsi" w:cs="Vaud-Bold"/>
          <w:b/>
          <w:bCs/>
        </w:rPr>
      </w:pPr>
      <w:r w:rsidRPr="00A47DDE">
        <w:rPr>
          <w:rFonts w:eastAsiaTheme="minorHAnsi" w:cs="Vaud-Light"/>
        </w:rPr>
        <w:t>Ensure the agenda and papers are issued two weeks before a meeting</w:t>
      </w:r>
      <w:r w:rsidR="0096264D">
        <w:rPr>
          <w:rFonts w:eastAsiaTheme="minorHAnsi" w:cs="Vaud-Light"/>
        </w:rPr>
        <w:t>.</w:t>
      </w:r>
    </w:p>
    <w:p w14:paraId="47AA912C" w14:textId="0F1E15EC" w:rsidR="00255EEE" w:rsidRPr="00A47DDE" w:rsidRDefault="00255EEE" w:rsidP="0096264D">
      <w:pPr>
        <w:pStyle w:val="ListParagraph"/>
        <w:numPr>
          <w:ilvl w:val="0"/>
          <w:numId w:val="30"/>
        </w:numPr>
        <w:ind w:left="850" w:right="679" w:hanging="493"/>
        <w:rPr>
          <w:rFonts w:eastAsiaTheme="minorHAnsi" w:cs="Vaud-Bold"/>
          <w:b/>
          <w:bCs/>
        </w:rPr>
      </w:pPr>
      <w:r w:rsidRPr="00A47DDE">
        <w:rPr>
          <w:rFonts w:eastAsiaTheme="minorHAnsi" w:cs="Vaud-Light"/>
        </w:rPr>
        <w:t>Coordinate with the Chair to ensure minutes are promptly finalised, signed by the Chair and distributed to members for confirmation as soon as practicable after each meeting</w:t>
      </w:r>
      <w:r w:rsidR="0096264D">
        <w:rPr>
          <w:rFonts w:eastAsiaTheme="minorHAnsi" w:cs="Vaud-Light"/>
        </w:rPr>
        <w:t>.</w:t>
      </w:r>
    </w:p>
    <w:p w14:paraId="75900DD0" w14:textId="2158F267" w:rsidR="00255EEE" w:rsidRPr="00A47DDE" w:rsidRDefault="00255EEE" w:rsidP="0096264D">
      <w:pPr>
        <w:pStyle w:val="ListParagraph"/>
        <w:numPr>
          <w:ilvl w:val="0"/>
          <w:numId w:val="30"/>
        </w:numPr>
        <w:ind w:left="850" w:right="679" w:hanging="493"/>
        <w:rPr>
          <w:rFonts w:eastAsiaTheme="minorHAnsi" w:cs="Vaud-Bold"/>
          <w:b/>
          <w:bCs/>
        </w:rPr>
      </w:pPr>
      <w:r w:rsidRPr="00A47DDE">
        <w:rPr>
          <w:rFonts w:eastAsiaTheme="minorHAnsi" w:cs="Vaud-Light"/>
        </w:rPr>
        <w:t>Ensure minutes of previous meeting</w:t>
      </w:r>
      <w:r w:rsidR="0096264D">
        <w:rPr>
          <w:rFonts w:eastAsiaTheme="minorHAnsi" w:cs="Vaud-Light"/>
        </w:rPr>
        <w:t>s</w:t>
      </w:r>
      <w:r w:rsidRPr="00A47DDE">
        <w:rPr>
          <w:rFonts w:eastAsiaTheme="minorHAnsi" w:cs="Vaud-Light"/>
        </w:rPr>
        <w:t xml:space="preserve"> are tabled at the next </w:t>
      </w:r>
      <w:r w:rsidRPr="00A47DDE">
        <w:t>Senate</w:t>
      </w:r>
      <w:r w:rsidRPr="00A47DDE">
        <w:rPr>
          <w:rFonts w:eastAsiaTheme="minorHAnsi" w:cs="Vaud-Light"/>
        </w:rPr>
        <w:t xml:space="preserve"> meeting for approval</w:t>
      </w:r>
      <w:r w:rsidR="0096264D">
        <w:rPr>
          <w:rFonts w:eastAsiaTheme="minorHAnsi" w:cs="Vaud-Light"/>
        </w:rPr>
        <w:t>.</w:t>
      </w:r>
    </w:p>
    <w:p w14:paraId="326ED3AF" w14:textId="49AC7F1D" w:rsidR="00255EEE" w:rsidRPr="00A47DDE" w:rsidRDefault="00255EEE" w:rsidP="0096264D">
      <w:pPr>
        <w:pStyle w:val="ListParagraph"/>
        <w:numPr>
          <w:ilvl w:val="0"/>
          <w:numId w:val="30"/>
        </w:numPr>
        <w:ind w:left="850" w:right="679" w:hanging="493"/>
        <w:rPr>
          <w:rFonts w:eastAsiaTheme="minorHAnsi" w:cs="Vaud-Bold"/>
          <w:b/>
          <w:bCs/>
        </w:rPr>
      </w:pPr>
      <w:r w:rsidRPr="00A47DDE">
        <w:rPr>
          <w:rFonts w:eastAsiaTheme="minorHAnsi" w:cs="Vaud-Light"/>
        </w:rPr>
        <w:t>Maintain a disclosure of interest register</w:t>
      </w:r>
      <w:r w:rsidR="0096264D">
        <w:rPr>
          <w:rFonts w:eastAsiaTheme="minorHAnsi" w:cs="Vaud-Light"/>
        </w:rPr>
        <w:t>.</w:t>
      </w:r>
    </w:p>
    <w:p w14:paraId="60BBA26F" w14:textId="41D94CF8" w:rsidR="00255EEE" w:rsidRPr="00A47DDE" w:rsidRDefault="00255EEE" w:rsidP="00972E0B">
      <w:pPr>
        <w:pStyle w:val="ListParagraph"/>
        <w:numPr>
          <w:ilvl w:val="0"/>
          <w:numId w:val="30"/>
        </w:numPr>
        <w:ind w:left="850" w:right="679" w:hanging="493"/>
        <w:jc w:val="left"/>
        <w:rPr>
          <w:rFonts w:eastAsiaTheme="minorHAnsi" w:cs="Vaud-Bold"/>
          <w:b/>
          <w:bCs/>
        </w:rPr>
      </w:pPr>
      <w:r w:rsidRPr="00A47DDE">
        <w:rPr>
          <w:rFonts w:eastAsiaTheme="minorHAnsi" w:cs="Vaud-Light"/>
        </w:rPr>
        <w:t xml:space="preserve">Make all administration arrangements associated with </w:t>
      </w:r>
      <w:r w:rsidRPr="00A47DDE">
        <w:t>Senate</w:t>
      </w:r>
      <w:r w:rsidRPr="00A47DDE">
        <w:rPr>
          <w:rFonts w:eastAsiaTheme="minorHAnsi" w:cs="Vaud-Light"/>
        </w:rPr>
        <w:t xml:space="preserve"> members’ travel, accommodation and remuneration, teleconferencing/video conferencing arrangements</w:t>
      </w:r>
      <w:r w:rsidR="006F3FBD">
        <w:rPr>
          <w:rFonts w:eastAsiaTheme="minorHAnsi" w:cs="Vaud-Light"/>
        </w:rPr>
        <w:t>.</w:t>
      </w:r>
    </w:p>
    <w:p w14:paraId="19536F91" w14:textId="77777777" w:rsidR="00255EEE" w:rsidRPr="00A47DDE" w:rsidRDefault="00255EEE" w:rsidP="0096264D">
      <w:pPr>
        <w:pStyle w:val="ListParagraph"/>
        <w:numPr>
          <w:ilvl w:val="0"/>
          <w:numId w:val="30"/>
        </w:numPr>
        <w:spacing w:after="100" w:afterAutospacing="1"/>
        <w:ind w:left="851" w:right="679" w:hanging="491"/>
        <w:contextualSpacing/>
        <w:rPr>
          <w:rFonts w:eastAsiaTheme="minorHAnsi" w:cs="Vaud-Bold"/>
          <w:b/>
          <w:bCs/>
        </w:rPr>
      </w:pPr>
      <w:r w:rsidRPr="00A47DDE">
        <w:rPr>
          <w:rFonts w:eastAsiaTheme="minorHAnsi" w:cs="Vaud-Light"/>
        </w:rPr>
        <w:t>Coordinate the drafting of annual work plan.</w:t>
      </w:r>
    </w:p>
    <w:p w14:paraId="61746EC9" w14:textId="77777777" w:rsidR="00244802" w:rsidRDefault="00244802" w:rsidP="00353EDE">
      <w:pPr>
        <w:pStyle w:val="Heading1"/>
      </w:pPr>
      <w:bookmarkStart w:id="28" w:name="_Toc106196279"/>
      <w:r>
        <w:t>Conflict of Interest</w:t>
      </w:r>
      <w:bookmarkEnd w:id="28"/>
    </w:p>
    <w:p w14:paraId="4ACAEF28" w14:textId="77777777" w:rsidR="00244802" w:rsidRPr="00244802" w:rsidRDefault="00244802" w:rsidP="00244802">
      <w:r w:rsidRPr="00244802">
        <w:t>Committee members must act with honesty and integrity, be open and transparent in dealings, and avoid a position possessing a conflict of interest. Any actual or potential conflicts of interest must be reported to the Chair and to other members if it is likely to have an impact on a discussion or decision being made by the Committee.</w:t>
      </w:r>
    </w:p>
    <w:p w14:paraId="6645BF13" w14:textId="237E227C" w:rsidR="00912CB9" w:rsidRDefault="00912CB9" w:rsidP="00912CB9">
      <w:r>
        <w:lastRenderedPageBreak/>
        <w:t>Members will not participate in discussions and will not vote on any issues in respect of which there is an actual or perceived conflict of interest.</w:t>
      </w:r>
    </w:p>
    <w:p w14:paraId="180506B9" w14:textId="3E0C59D1" w:rsidR="00293AEE" w:rsidRDefault="00293AEE" w:rsidP="004609AD">
      <w:pPr>
        <w:pStyle w:val="Heading2"/>
        <w:numPr>
          <w:ilvl w:val="1"/>
          <w:numId w:val="9"/>
        </w:numPr>
      </w:pPr>
      <w:bookmarkStart w:id="29" w:name="_Toc106196280"/>
      <w:r>
        <w:t>Public sector employee members</w:t>
      </w:r>
      <w:bookmarkEnd w:id="29"/>
    </w:p>
    <w:p w14:paraId="1CC02B2C" w14:textId="19A216D9" w:rsidR="00912CB9" w:rsidRDefault="00912CB9" w:rsidP="00512572">
      <w:r>
        <w:t xml:space="preserve">In accordance with s5F (Performance and conduct principle) of the </w:t>
      </w:r>
      <w:r w:rsidRPr="003A6315">
        <w:rPr>
          <w:i/>
        </w:rPr>
        <w:t>Public Sector Employment and Management Act 2012</w:t>
      </w:r>
      <w:r w:rsidR="002A2972">
        <w:rPr>
          <w:rStyle w:val="FootnoteReference"/>
          <w:i/>
        </w:rPr>
        <w:footnoteReference w:id="3"/>
      </w:r>
      <w:r>
        <w:t>, and paragraphs 4.1 (Application of the Code of Conduct</w:t>
      </w:r>
      <w:r w:rsidR="00472568">
        <w:rPr>
          <w:rStyle w:val="FootnoteReference"/>
        </w:rPr>
        <w:footnoteReference w:id="4"/>
      </w:r>
      <w:r>
        <w:t>) and s16 (Disclosure of Interests) of the Code, all public sector employees are required to disclose in writing any financial or other interest held by them immediately upon becoming aware that a potential conflict between personal interest and official duty, whether real or perceived, has arisen or is likely to arise.</w:t>
      </w:r>
    </w:p>
    <w:p w14:paraId="1615D55B" w14:textId="573BDA1A" w:rsidR="00293AEE" w:rsidRDefault="00293AEE" w:rsidP="00293AEE">
      <w:r>
        <w:t xml:space="preserve">For members who are public sector employees, failure or refusal to provide a Declaration could be considered a beach of discipline (or a breach of contract in the case of an executive contract officer) under s49(a) of the </w:t>
      </w:r>
      <w:r w:rsidRPr="003A6315">
        <w:rPr>
          <w:i/>
        </w:rPr>
        <w:t>Public Sector Employment and Management Act 2012</w:t>
      </w:r>
      <w:r>
        <w:t>.</w:t>
      </w:r>
    </w:p>
    <w:p w14:paraId="24374C77" w14:textId="17183958" w:rsidR="00293AEE" w:rsidRDefault="00293AEE" w:rsidP="004609AD">
      <w:pPr>
        <w:pStyle w:val="Heading2"/>
        <w:numPr>
          <w:ilvl w:val="1"/>
          <w:numId w:val="9"/>
        </w:numPr>
      </w:pPr>
      <w:bookmarkStart w:id="30" w:name="_Toc106196281"/>
      <w:r>
        <w:t>Non-public sector employee members</w:t>
      </w:r>
      <w:bookmarkEnd w:id="30"/>
    </w:p>
    <w:p w14:paraId="72BED9FB" w14:textId="710DB8C1" w:rsidR="00512572" w:rsidRDefault="00512572" w:rsidP="00512572">
      <w:r>
        <w:t xml:space="preserve">For members who are not public sector employees, the </w:t>
      </w:r>
      <w:r w:rsidR="00293AEE">
        <w:t>following applies</w:t>
      </w:r>
      <w:r>
        <w:t>:</w:t>
      </w:r>
    </w:p>
    <w:p w14:paraId="6FAD43BB" w14:textId="20928B05" w:rsidR="00512572" w:rsidRPr="00972E0B" w:rsidRDefault="00512572" w:rsidP="00B34949">
      <w:pPr>
        <w:rPr>
          <w:szCs w:val="20"/>
        </w:rPr>
      </w:pPr>
      <w:r w:rsidRPr="00972E0B">
        <w:rPr>
          <w:szCs w:val="20"/>
        </w:rPr>
        <w:t xml:space="preserve">Members </w:t>
      </w:r>
      <w:r w:rsidRPr="00972E0B">
        <w:rPr>
          <w:b/>
          <w:bCs/>
          <w:szCs w:val="20"/>
        </w:rPr>
        <w:t>must</w:t>
      </w:r>
      <w:r w:rsidRPr="00972E0B">
        <w:rPr>
          <w:szCs w:val="20"/>
        </w:rPr>
        <w:t xml:space="preserve"> avoid conflicts of interest, whether real, potential or perceived, between their duties to the board and their personal interests, or to their duties to others. Those members who have, or acquire, a direct or indirect personal or pecuniary interest in a matter under consideration by the board </w:t>
      </w:r>
      <w:r w:rsidRPr="00972E0B">
        <w:rPr>
          <w:b/>
          <w:bCs/>
          <w:szCs w:val="20"/>
        </w:rPr>
        <w:t>must</w:t>
      </w:r>
      <w:r w:rsidRPr="00972E0B">
        <w:rPr>
          <w:szCs w:val="20"/>
        </w:rPr>
        <w:t xml:space="preserve"> disclose full details of the interest, to the board as soon as reasonably practical.</w:t>
      </w:r>
    </w:p>
    <w:p w14:paraId="2272A6AC" w14:textId="3429E4D4" w:rsidR="00512572" w:rsidRPr="00972E0B" w:rsidRDefault="00512572" w:rsidP="00B34949">
      <w:pPr>
        <w:rPr>
          <w:szCs w:val="20"/>
        </w:rPr>
      </w:pPr>
      <w:r w:rsidRPr="00972E0B">
        <w:rPr>
          <w:szCs w:val="20"/>
        </w:rPr>
        <w:t>The member must not seek, either directly or indirectly, to influence the outcome of any deliberations by the government board, or any of its officers, in relation to any matter to which he or she may have a conflict.</w:t>
      </w:r>
    </w:p>
    <w:p w14:paraId="3D8AE24D" w14:textId="657048B6" w:rsidR="00512572" w:rsidRPr="00972E0B" w:rsidRDefault="00512572" w:rsidP="00B34949">
      <w:pPr>
        <w:rPr>
          <w:szCs w:val="20"/>
        </w:rPr>
      </w:pPr>
      <w:r w:rsidRPr="00972E0B">
        <w:rPr>
          <w:szCs w:val="20"/>
        </w:rPr>
        <w:t>If there is any doubt as to whether a conflict of interest exists, the member should err on the side of caution and declare the interest.</w:t>
      </w:r>
    </w:p>
    <w:p w14:paraId="08D65ACD" w14:textId="0F08BD4D" w:rsidR="00512572" w:rsidRPr="00972E0B" w:rsidRDefault="00512572" w:rsidP="00B34949">
      <w:r w:rsidRPr="00972E0B">
        <w:t>The Chair decides if it is necessary for the member to excuse themselves from the meeting when any discussion or voting on the particular issue is taking place. The board makes a decision on how to manage the conflict of interest, and records the reasons for that decision.</w:t>
      </w:r>
    </w:p>
    <w:p w14:paraId="42FC606C" w14:textId="3296D37C" w:rsidR="00512572" w:rsidRPr="00972E0B" w:rsidRDefault="00512572" w:rsidP="00B34949">
      <w:r w:rsidRPr="00972E0B">
        <w:t>Ways to manage conflicts of interest include:</w:t>
      </w:r>
    </w:p>
    <w:p w14:paraId="670BF1D7" w14:textId="77777777" w:rsidR="00512572" w:rsidRPr="00972E0B" w:rsidRDefault="00512572" w:rsidP="00B34949">
      <w:pPr>
        <w:pStyle w:val="ListParagraph"/>
        <w:numPr>
          <w:ilvl w:val="0"/>
          <w:numId w:val="34"/>
        </w:numPr>
        <w:ind w:right="1387"/>
      </w:pPr>
      <w:r w:rsidRPr="00972E0B">
        <w:t>agreeing that the member will:</w:t>
      </w:r>
    </w:p>
    <w:p w14:paraId="5049A071" w14:textId="77777777" w:rsidR="00512572" w:rsidRPr="00972E0B" w:rsidRDefault="00512572" w:rsidP="00B34949">
      <w:pPr>
        <w:pStyle w:val="ListParagraph"/>
        <w:numPr>
          <w:ilvl w:val="1"/>
          <w:numId w:val="34"/>
        </w:numPr>
        <w:ind w:right="1387"/>
      </w:pPr>
      <w:r w:rsidRPr="00972E0B">
        <w:t xml:space="preserve">not take part in any discussion of the board relating to the interest; </w:t>
      </w:r>
    </w:p>
    <w:p w14:paraId="339CF900" w14:textId="77777777" w:rsidR="00512572" w:rsidRPr="00972E0B" w:rsidRDefault="00512572" w:rsidP="00B34949">
      <w:pPr>
        <w:pStyle w:val="ListParagraph"/>
        <w:numPr>
          <w:ilvl w:val="1"/>
          <w:numId w:val="34"/>
        </w:numPr>
        <w:ind w:right="1387"/>
      </w:pPr>
      <w:r w:rsidRPr="00972E0B">
        <w:t xml:space="preserve">not receive any relevant board papers; </w:t>
      </w:r>
    </w:p>
    <w:p w14:paraId="280948B2" w14:textId="77777777" w:rsidR="00512572" w:rsidRPr="00972E0B" w:rsidRDefault="00512572" w:rsidP="00B34949">
      <w:pPr>
        <w:pStyle w:val="ListParagraph"/>
        <w:numPr>
          <w:ilvl w:val="1"/>
          <w:numId w:val="34"/>
        </w:numPr>
        <w:ind w:right="1387"/>
      </w:pPr>
      <w:r w:rsidRPr="00972E0B">
        <w:t xml:space="preserve">be absent from the meeting room when any discussion or vote is taking place; and/or </w:t>
      </w:r>
    </w:p>
    <w:p w14:paraId="0736AA63" w14:textId="77777777" w:rsidR="00512572" w:rsidRPr="00972E0B" w:rsidRDefault="00512572" w:rsidP="00B34949">
      <w:pPr>
        <w:pStyle w:val="ListParagraph"/>
        <w:numPr>
          <w:ilvl w:val="1"/>
          <w:numId w:val="34"/>
        </w:numPr>
        <w:ind w:right="1387"/>
      </w:pPr>
      <w:proofErr w:type="gramStart"/>
      <w:r w:rsidRPr="00972E0B">
        <w:t>not</w:t>
      </w:r>
      <w:proofErr w:type="gramEnd"/>
      <w:r w:rsidRPr="00972E0B">
        <w:t xml:space="preserve"> vote on the matter.</w:t>
      </w:r>
    </w:p>
    <w:p w14:paraId="573343A6" w14:textId="77777777" w:rsidR="00512572" w:rsidRPr="00972E0B" w:rsidRDefault="00512572" w:rsidP="00B34949">
      <w:pPr>
        <w:pStyle w:val="ListParagraph"/>
        <w:numPr>
          <w:ilvl w:val="0"/>
          <w:numId w:val="34"/>
        </w:numPr>
        <w:ind w:right="1387"/>
      </w:pPr>
      <w:r w:rsidRPr="00972E0B">
        <w:t>divestment of the interest creating the conflict - for example, the sale of shares;</w:t>
      </w:r>
    </w:p>
    <w:p w14:paraId="64B70D2C" w14:textId="77777777" w:rsidR="00512572" w:rsidRPr="00972E0B" w:rsidRDefault="00512572" w:rsidP="00B34949">
      <w:pPr>
        <w:pStyle w:val="ListParagraph"/>
        <w:numPr>
          <w:ilvl w:val="0"/>
          <w:numId w:val="34"/>
        </w:numPr>
        <w:ind w:right="1387"/>
      </w:pPr>
      <w:r w:rsidRPr="00972E0B">
        <w:t>severing the connection - for example, resigning from a position in another organisation giving rise to a conflict; and</w:t>
      </w:r>
    </w:p>
    <w:p w14:paraId="104906C3" w14:textId="620A3C48" w:rsidR="006F3FBD" w:rsidRDefault="00512572" w:rsidP="00912CB9">
      <w:pPr>
        <w:pStyle w:val="ListParagraph"/>
        <w:numPr>
          <w:ilvl w:val="0"/>
          <w:numId w:val="34"/>
        </w:numPr>
        <w:ind w:right="1387"/>
      </w:pPr>
      <w:proofErr w:type="gramStart"/>
      <w:r w:rsidRPr="00972E0B">
        <w:lastRenderedPageBreak/>
        <w:t>resigning</w:t>
      </w:r>
      <w:proofErr w:type="gramEnd"/>
      <w:r w:rsidRPr="00972E0B">
        <w:t xml:space="preserve"> from the board.</w:t>
      </w:r>
    </w:p>
    <w:p w14:paraId="134506B6" w14:textId="2F3145A1" w:rsidR="00912CB9" w:rsidRPr="006F3FBD" w:rsidRDefault="00512572" w:rsidP="00912CB9">
      <w:r w:rsidRPr="00972E0B">
        <w:t xml:space="preserve">Conflict of interest declarations must be communicated to the Chair in writing. </w:t>
      </w:r>
      <w:r w:rsidR="00912CB9" w:rsidRPr="006F3FBD">
        <w:t>Meetings of the Committee will include a standing item that confirms whether any member holds a conflict for any matter, and if identified, Committee members will be required to complete a written Declaration of Private Financial and Other Interests (“Declaration”). Nil declarations are required where there is nothing to declare.</w:t>
      </w:r>
    </w:p>
    <w:p w14:paraId="12E12794" w14:textId="3E32EE8E" w:rsidR="006F3FBD" w:rsidRDefault="006F3FBD">
      <w:pPr>
        <w:jc w:val="left"/>
      </w:pPr>
    </w:p>
    <w:sectPr w:rsidR="006F3FBD" w:rsidSect="004609AD">
      <w:headerReference w:type="first" r:id="rId1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F2BE" w14:textId="77777777" w:rsidR="00F838E1" w:rsidRDefault="00F838E1" w:rsidP="007332FF">
      <w:r>
        <w:separator/>
      </w:r>
    </w:p>
  </w:endnote>
  <w:endnote w:type="continuationSeparator" w:id="0">
    <w:p w14:paraId="4CBC3942" w14:textId="77777777" w:rsidR="00F838E1" w:rsidRDefault="00F838E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oximaNova-Semibold">
    <w:altName w:val="Cambria"/>
    <w:panose1 w:val="00000000000000000000"/>
    <w:charset w:val="00"/>
    <w:family w:val="auto"/>
    <w:notTrueType/>
    <w:pitch w:val="default"/>
    <w:sig w:usb0="00000003" w:usb1="00000000" w:usb2="00000000" w:usb3="00000000" w:csb0="00000001" w:csb1="00000000"/>
  </w:font>
  <w:font w:name="Vaud-Bold">
    <w:panose1 w:val="00000000000000000000"/>
    <w:charset w:val="00"/>
    <w:family w:val="swiss"/>
    <w:notTrueType/>
    <w:pitch w:val="default"/>
    <w:sig w:usb0="00000003" w:usb1="00000000" w:usb2="00000000" w:usb3="00000000" w:csb0="00000001" w:csb1="00000000"/>
  </w:font>
  <w:font w:name="Vau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B0C9" w14:textId="77777777" w:rsidR="006F3FBD" w:rsidRDefault="006F3FBD"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F3FBD" w:rsidRPr="00132658" w14:paraId="40FE4874" w14:textId="77777777" w:rsidTr="00D47DC7">
      <w:trPr>
        <w:cantSplit/>
        <w:trHeight w:hRule="exact" w:val="850"/>
      </w:trPr>
      <w:tc>
        <w:tcPr>
          <w:tcW w:w="10318" w:type="dxa"/>
          <w:vAlign w:val="bottom"/>
        </w:tcPr>
        <w:p w14:paraId="16103B01" w14:textId="77777777" w:rsidR="004609AD" w:rsidRDefault="004609AD" w:rsidP="00D47DC7">
          <w:pPr>
            <w:spacing w:after="0"/>
            <w:rPr>
              <w:rStyle w:val="PageNumber"/>
            </w:rPr>
          </w:pPr>
          <w:r>
            <w:rPr>
              <w:rStyle w:val="PageNumber"/>
            </w:rPr>
            <w:t>NT Health</w:t>
          </w:r>
        </w:p>
        <w:p w14:paraId="76BD2877" w14:textId="22404127" w:rsidR="006F3FBD" w:rsidRPr="00CE6614" w:rsidRDefault="00F838E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5-06T00:00:00Z">
                <w:dateFormat w:val="d MMMM yyyy"/>
                <w:lid w:val="en-AU"/>
                <w:storeMappedDataAs w:val="dateTime"/>
                <w:calendar w:val="gregorian"/>
              </w:date>
            </w:sdtPr>
            <w:sdtEndPr>
              <w:rPr>
                <w:rStyle w:val="PageNumber"/>
              </w:rPr>
            </w:sdtEndPr>
            <w:sdtContent>
              <w:r w:rsidR="006F3FBD">
                <w:rPr>
                  <w:rStyle w:val="PageNumber"/>
                </w:rPr>
                <w:t>6 May 2022</w:t>
              </w:r>
            </w:sdtContent>
          </w:sdt>
          <w:r w:rsidR="006F3FBD" w:rsidRPr="00CE6614">
            <w:rPr>
              <w:rStyle w:val="PageNumber"/>
            </w:rPr>
            <w:t xml:space="preserve"> | </w:t>
          </w:r>
        </w:p>
        <w:p w14:paraId="51C656D7" w14:textId="138FE1CB" w:rsidR="006F3FBD" w:rsidRPr="00AC4488" w:rsidRDefault="006F3FB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1C1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1C19">
            <w:rPr>
              <w:rStyle w:val="PageNumber"/>
              <w:noProof/>
            </w:rPr>
            <w:t>11</w:t>
          </w:r>
          <w:r w:rsidRPr="00AC4488">
            <w:rPr>
              <w:rStyle w:val="PageNumber"/>
            </w:rPr>
            <w:fldChar w:fldCharType="end"/>
          </w:r>
        </w:p>
      </w:tc>
    </w:tr>
  </w:tbl>
  <w:p w14:paraId="762E5584" w14:textId="77777777" w:rsidR="006F3FBD" w:rsidRPr="00B11C67" w:rsidRDefault="006F3FBD"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F74A" w14:textId="77777777" w:rsidR="006F3FBD" w:rsidRDefault="006F3FBD"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F3FBD" w:rsidRPr="00132658" w14:paraId="49CC1D4B" w14:textId="77777777" w:rsidTr="00BE217A">
      <w:trPr>
        <w:cantSplit/>
        <w:trHeight w:hRule="exact" w:val="1134"/>
      </w:trPr>
      <w:tc>
        <w:tcPr>
          <w:tcW w:w="7767" w:type="dxa"/>
          <w:vAlign w:val="bottom"/>
        </w:tcPr>
        <w:p w14:paraId="7588B7A2" w14:textId="506523B6" w:rsidR="006F3FBD" w:rsidRDefault="004609AD" w:rsidP="00D47DC7">
          <w:pPr>
            <w:spacing w:after="0"/>
            <w:rPr>
              <w:rStyle w:val="PageNumber"/>
              <w:b/>
            </w:rPr>
          </w:pPr>
          <w:r>
            <w:rPr>
              <w:rStyle w:val="PageNumber"/>
            </w:rPr>
            <w:t>NT Health</w:t>
          </w:r>
        </w:p>
        <w:p w14:paraId="18F9B552" w14:textId="3A44294F" w:rsidR="006F3FBD" w:rsidRPr="00CE6614" w:rsidRDefault="00F838E1" w:rsidP="00D47DC7">
          <w:pPr>
            <w:spacing w:after="0"/>
            <w:rPr>
              <w:rStyle w:val="PageNumber"/>
            </w:rPr>
          </w:pPr>
          <w:sdt>
            <w:sdtPr>
              <w:rPr>
                <w:rStyle w:val="PageNumber"/>
              </w:rPr>
              <w:alias w:val="Date"/>
              <w:tag w:val=""/>
              <w:id w:val="1578473972"/>
              <w:placeholder>
                <w:docPart w:val="DefaultPlaceholder_-1854013440"/>
              </w:placeholder>
              <w:dataBinding w:prefixMappings="xmlns:ns0='http://schemas.microsoft.com/office/2006/coverPageProps' " w:xpath="/ns0:CoverPageProperties[1]/ns0:PublishDate[1]" w:storeItemID="{55AF091B-3C7A-41E3-B477-F2FDAA23CFDA}"/>
              <w15:color w:val="000000"/>
              <w:date w:fullDate="2022-05-06T00:00:00Z">
                <w:dateFormat w:val="d MMMM yyyy"/>
                <w:lid w:val="en-AU"/>
                <w:storeMappedDataAs w:val="dateTime"/>
                <w:calendar w:val="gregorian"/>
              </w:date>
            </w:sdtPr>
            <w:sdtEndPr>
              <w:rPr>
                <w:rStyle w:val="PageNumber"/>
              </w:rPr>
            </w:sdtEndPr>
            <w:sdtContent>
              <w:r w:rsidR="006F3FBD">
                <w:rPr>
                  <w:rStyle w:val="PageNumber"/>
                </w:rPr>
                <w:t>6 May 2022</w:t>
              </w:r>
            </w:sdtContent>
          </w:sdt>
          <w:r w:rsidR="006F3FBD" w:rsidRPr="00CE6614">
            <w:rPr>
              <w:rStyle w:val="PageNumber"/>
            </w:rPr>
            <w:t xml:space="preserve"> | </w:t>
          </w:r>
        </w:p>
        <w:p w14:paraId="3EADBAD2" w14:textId="2C7F99BE" w:rsidR="006F3FBD" w:rsidRPr="00CE30CF" w:rsidRDefault="006F3FB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1C1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1C19">
            <w:rPr>
              <w:rStyle w:val="PageNumber"/>
              <w:noProof/>
            </w:rPr>
            <w:t>11</w:t>
          </w:r>
          <w:r w:rsidRPr="00AC4488">
            <w:rPr>
              <w:rStyle w:val="PageNumber"/>
            </w:rPr>
            <w:fldChar w:fldCharType="end"/>
          </w:r>
        </w:p>
      </w:tc>
      <w:tc>
        <w:tcPr>
          <w:tcW w:w="2551" w:type="dxa"/>
          <w:vAlign w:val="bottom"/>
        </w:tcPr>
        <w:p w14:paraId="29E4CE53" w14:textId="77777777" w:rsidR="006F3FBD" w:rsidRPr="001E14EB" w:rsidRDefault="006F3FBD" w:rsidP="0071700C">
          <w:pPr>
            <w:spacing w:after="0"/>
            <w:jc w:val="right"/>
          </w:pPr>
          <w:r>
            <w:rPr>
              <w:noProof/>
              <w:lang w:eastAsia="en-AU"/>
            </w:rPr>
            <w:drawing>
              <wp:inline distT="0" distB="0" distL="0" distR="0" wp14:anchorId="60FB55C8" wp14:editId="2516B286">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8CA99A" w14:textId="77777777" w:rsidR="006F3FBD" w:rsidRPr="00661BE1" w:rsidRDefault="006F3FBD"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001E" w14:textId="77777777" w:rsidR="00F838E1" w:rsidRDefault="00F838E1" w:rsidP="007332FF">
      <w:r>
        <w:separator/>
      </w:r>
    </w:p>
  </w:footnote>
  <w:footnote w:type="continuationSeparator" w:id="0">
    <w:p w14:paraId="2829FA23" w14:textId="77777777" w:rsidR="00F838E1" w:rsidRDefault="00F838E1" w:rsidP="007332FF">
      <w:r>
        <w:continuationSeparator/>
      </w:r>
    </w:p>
  </w:footnote>
  <w:footnote w:id="1">
    <w:p w14:paraId="011CC7E6" w14:textId="7851143B" w:rsidR="006F3FBD" w:rsidRDefault="006F3FBD">
      <w:pPr>
        <w:pStyle w:val="FootnoteText"/>
      </w:pPr>
      <w:r>
        <w:rPr>
          <w:rStyle w:val="FootnoteReference"/>
        </w:rPr>
        <w:footnoteRef/>
      </w:r>
      <w:r>
        <w:t xml:space="preserve"> </w:t>
      </w:r>
      <w:hyperlink r:id="rId1" w:history="1">
        <w:r w:rsidRPr="00372732">
          <w:rPr>
            <w:rStyle w:val="Hyperlink"/>
            <w:i/>
          </w:rPr>
          <w:t>Health Service Act 2001</w:t>
        </w:r>
      </w:hyperlink>
    </w:p>
  </w:footnote>
  <w:footnote w:id="2">
    <w:p w14:paraId="72CB827D" w14:textId="77777777" w:rsidR="006F3FBD" w:rsidRPr="006C27E2" w:rsidRDefault="006F3FBD" w:rsidP="004D1DF4">
      <w:pPr>
        <w:pStyle w:val="FootnoteText"/>
        <w:rPr>
          <w:lang w:val="en-GB"/>
        </w:rPr>
      </w:pPr>
      <w:r>
        <w:rPr>
          <w:rStyle w:val="FootnoteReference"/>
        </w:rPr>
        <w:footnoteRef/>
      </w:r>
      <w:r>
        <w:t xml:space="preserve"> </w:t>
      </w:r>
      <w:proofErr w:type="spellStart"/>
      <w:r w:rsidRPr="00B23A12">
        <w:t>Quinlivan</w:t>
      </w:r>
      <w:proofErr w:type="spellEnd"/>
      <w:r w:rsidRPr="00B23A12">
        <w:t xml:space="preserve">, J., </w:t>
      </w:r>
      <w:proofErr w:type="spellStart"/>
      <w:r w:rsidRPr="00B23A12">
        <w:t>Basile</w:t>
      </w:r>
      <w:proofErr w:type="spellEnd"/>
      <w:r w:rsidRPr="00B23A12">
        <w:t>, T., Gibson, K., Xu, D. and Croker, N., 2016. The Western Australian Clinical Senate as a model for state-wide clinical engagement. Health Care: Current Reviews, 4(3).</w:t>
      </w:r>
    </w:p>
  </w:footnote>
  <w:footnote w:id="3">
    <w:p w14:paraId="1AD228C5" w14:textId="0C4C7C2B" w:rsidR="006F3FBD" w:rsidRDefault="006F3FBD">
      <w:pPr>
        <w:pStyle w:val="FootnoteText"/>
      </w:pPr>
      <w:r>
        <w:rPr>
          <w:rStyle w:val="FootnoteReference"/>
        </w:rPr>
        <w:footnoteRef/>
      </w:r>
      <w:r>
        <w:t xml:space="preserve"> </w:t>
      </w:r>
      <w:hyperlink r:id="rId2" w:history="1">
        <w:r w:rsidRPr="002A2972">
          <w:rPr>
            <w:rStyle w:val="Hyperlink"/>
            <w:i/>
          </w:rPr>
          <w:t>Public Sector Employment and Management Act 1993</w:t>
        </w:r>
      </w:hyperlink>
    </w:p>
  </w:footnote>
  <w:footnote w:id="4">
    <w:p w14:paraId="7A53334F" w14:textId="17FAFEC7" w:rsidR="006F3FBD" w:rsidRDefault="006F3FBD">
      <w:pPr>
        <w:pStyle w:val="FootnoteText"/>
      </w:pPr>
      <w:r>
        <w:rPr>
          <w:rStyle w:val="FootnoteReference"/>
        </w:rPr>
        <w:footnoteRef/>
      </w:r>
      <w:r>
        <w:t xml:space="preserve"> </w:t>
      </w:r>
      <w:hyperlink r:id="rId3" w:history="1">
        <w:r w:rsidRPr="00472568">
          <w:rPr>
            <w:rStyle w:val="Hyperlink"/>
          </w:rPr>
          <w:t>NTPS Code of Conduct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2497" w14:textId="76E6B4FA" w:rsidR="006F3FBD" w:rsidRPr="00162207" w:rsidRDefault="00F838E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F3FBD">
          <w:t>Terms of Reference Northern Territory Clinical Senate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C408720" w14:textId="681FF1C7" w:rsidR="006F3FBD" w:rsidRDefault="006F3FBD" w:rsidP="00B435F4">
        <w:pPr>
          <w:pStyle w:val="Title"/>
          <w:jc w:val="left"/>
        </w:pPr>
        <w:r>
          <w:rPr>
            <w:rStyle w:val="TitleChar"/>
          </w:rPr>
          <w:t xml:space="preserve">Terms of Reference </w:t>
        </w:r>
        <w:r>
          <w:rPr>
            <w:rStyle w:val="TitleChar"/>
          </w:rPr>
          <w:br/>
          <w:t>Northern Territory Clinical Senate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1618218866"/>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7522F88" w14:textId="77777777" w:rsidR="004609AD" w:rsidRDefault="004609AD" w:rsidP="00B435F4">
        <w:pPr>
          <w:pStyle w:val="Title"/>
          <w:jc w:val="left"/>
        </w:pPr>
        <w:r>
          <w:rPr>
            <w:rStyle w:val="TitleChar"/>
          </w:rPr>
          <w:t xml:space="preserve">Terms of Reference </w:t>
        </w:r>
        <w:r>
          <w:rPr>
            <w:rStyle w:val="TitleChar"/>
          </w:rPr>
          <w:br/>
          <w:t>Northern Territory Clinical Senate</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2009014974"/>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45C3D36" w14:textId="77777777" w:rsidR="004609AD" w:rsidRDefault="004609AD" w:rsidP="00B435F4">
        <w:pPr>
          <w:pStyle w:val="Title"/>
          <w:jc w:val="left"/>
        </w:pPr>
        <w:r>
          <w:rPr>
            <w:rStyle w:val="TitleChar"/>
          </w:rPr>
          <w:t xml:space="preserve">Terms of Reference </w:t>
        </w:r>
        <w:r>
          <w:rPr>
            <w:rStyle w:val="TitleChar"/>
          </w:rPr>
          <w:br/>
          <w:t>Northern Territory Clinical Senate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5D2"/>
    <w:multiLevelType w:val="hybridMultilevel"/>
    <w:tmpl w:val="E4263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07ACB"/>
    <w:multiLevelType w:val="hybridMultilevel"/>
    <w:tmpl w:val="0F5A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51E83"/>
    <w:multiLevelType w:val="hybridMultilevel"/>
    <w:tmpl w:val="A09E64AA"/>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start w:val="1"/>
      <w:numFmt w:val="bullet"/>
      <w:lvlText w:val=""/>
      <w:lvlJc w:val="left"/>
      <w:pPr>
        <w:ind w:left="3578" w:hanging="360"/>
      </w:pPr>
      <w:rPr>
        <w:rFonts w:ascii="Wingdings" w:hAnsi="Wingdings" w:hint="default"/>
      </w:rPr>
    </w:lvl>
    <w:lvl w:ilvl="3" w:tplc="0C090001">
      <w:start w:val="1"/>
      <w:numFmt w:val="bullet"/>
      <w:lvlText w:val=""/>
      <w:lvlJc w:val="left"/>
      <w:pPr>
        <w:ind w:left="4298" w:hanging="360"/>
      </w:pPr>
      <w:rPr>
        <w:rFonts w:ascii="Symbol" w:hAnsi="Symbol" w:hint="default"/>
      </w:rPr>
    </w:lvl>
    <w:lvl w:ilvl="4" w:tplc="0C090003">
      <w:start w:val="1"/>
      <w:numFmt w:val="bullet"/>
      <w:lvlText w:val="o"/>
      <w:lvlJc w:val="left"/>
      <w:pPr>
        <w:ind w:left="5018" w:hanging="360"/>
      </w:pPr>
      <w:rPr>
        <w:rFonts w:ascii="Courier New" w:hAnsi="Courier New" w:cs="Courier New" w:hint="default"/>
      </w:rPr>
    </w:lvl>
    <w:lvl w:ilvl="5" w:tplc="0C090005">
      <w:start w:val="1"/>
      <w:numFmt w:val="bullet"/>
      <w:lvlText w:val=""/>
      <w:lvlJc w:val="left"/>
      <w:pPr>
        <w:ind w:left="5738" w:hanging="360"/>
      </w:pPr>
      <w:rPr>
        <w:rFonts w:ascii="Wingdings" w:hAnsi="Wingdings" w:hint="default"/>
      </w:rPr>
    </w:lvl>
    <w:lvl w:ilvl="6" w:tplc="0C090001">
      <w:start w:val="1"/>
      <w:numFmt w:val="bullet"/>
      <w:lvlText w:val=""/>
      <w:lvlJc w:val="left"/>
      <w:pPr>
        <w:ind w:left="6458" w:hanging="360"/>
      </w:pPr>
      <w:rPr>
        <w:rFonts w:ascii="Symbol" w:hAnsi="Symbol" w:hint="default"/>
      </w:rPr>
    </w:lvl>
    <w:lvl w:ilvl="7" w:tplc="0C090003">
      <w:start w:val="1"/>
      <w:numFmt w:val="bullet"/>
      <w:lvlText w:val="o"/>
      <w:lvlJc w:val="left"/>
      <w:pPr>
        <w:ind w:left="7178" w:hanging="360"/>
      </w:pPr>
      <w:rPr>
        <w:rFonts w:ascii="Courier New" w:hAnsi="Courier New" w:cs="Courier New" w:hint="default"/>
      </w:rPr>
    </w:lvl>
    <w:lvl w:ilvl="8" w:tplc="0C090005">
      <w:start w:val="1"/>
      <w:numFmt w:val="bullet"/>
      <w:lvlText w:val=""/>
      <w:lvlJc w:val="left"/>
      <w:pPr>
        <w:ind w:left="7898"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966F85"/>
    <w:multiLevelType w:val="hybridMultilevel"/>
    <w:tmpl w:val="0F662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3D6C5F"/>
    <w:multiLevelType w:val="hybridMultilevel"/>
    <w:tmpl w:val="6D90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D33A1"/>
    <w:multiLevelType w:val="hybridMultilevel"/>
    <w:tmpl w:val="ED488706"/>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5F33235"/>
    <w:multiLevelType w:val="hybridMultilevel"/>
    <w:tmpl w:val="64AEE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830118"/>
    <w:multiLevelType w:val="hybridMultilevel"/>
    <w:tmpl w:val="4894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F7751CB"/>
    <w:multiLevelType w:val="hybridMultilevel"/>
    <w:tmpl w:val="4D48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F077BD"/>
    <w:multiLevelType w:val="hybridMultilevel"/>
    <w:tmpl w:val="DB306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45696F"/>
    <w:multiLevelType w:val="hybridMultilevel"/>
    <w:tmpl w:val="4D7E732E"/>
    <w:lvl w:ilvl="0" w:tplc="55262826">
      <w:start w:val="1"/>
      <w:numFmt w:val="bullet"/>
      <w:lvlText w:val=""/>
      <w:lvlJc w:val="left"/>
      <w:pPr>
        <w:ind w:left="720" w:hanging="360"/>
      </w:pPr>
      <w:rPr>
        <w:rFonts w:ascii="Symbol" w:hAnsi="Symbol" w:hint="default"/>
        <w:color w:val="1F1F5F"/>
      </w:rPr>
    </w:lvl>
    <w:lvl w:ilvl="1" w:tplc="859EA074">
      <w:numFmt w:val="bullet"/>
      <w:lvlText w:val="-"/>
      <w:lvlJc w:val="left"/>
      <w:pPr>
        <w:ind w:left="1440" w:hanging="360"/>
      </w:pPr>
      <w:rPr>
        <w:rFonts w:ascii="Lato" w:eastAsia="Calibri" w:hAnsi="Lato"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A75F93"/>
    <w:multiLevelType w:val="hybridMultilevel"/>
    <w:tmpl w:val="FEA8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90D0CA1"/>
    <w:multiLevelType w:val="hybridMultilevel"/>
    <w:tmpl w:val="80BE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ED1994"/>
    <w:multiLevelType w:val="hybridMultilevel"/>
    <w:tmpl w:val="E8605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39C05CF"/>
    <w:multiLevelType w:val="hybridMultilevel"/>
    <w:tmpl w:val="1E04CF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16B2A73"/>
    <w:multiLevelType w:val="hybridMultilevel"/>
    <w:tmpl w:val="53FAE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26824E3"/>
    <w:multiLevelType w:val="hybridMultilevel"/>
    <w:tmpl w:val="A2621C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9235DE3"/>
    <w:multiLevelType w:val="hybridMultilevel"/>
    <w:tmpl w:val="46A6B7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59A72C68"/>
    <w:multiLevelType w:val="hybridMultilevel"/>
    <w:tmpl w:val="97320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9AA1DF9"/>
    <w:multiLevelType w:val="hybridMultilevel"/>
    <w:tmpl w:val="0B007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A151AC2"/>
    <w:multiLevelType w:val="hybridMultilevel"/>
    <w:tmpl w:val="50F2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5F6334EF"/>
    <w:multiLevelType w:val="multilevel"/>
    <w:tmpl w:val="FFE0FF2E"/>
    <w:lvl w:ilvl="0">
      <w:start w:val="1"/>
      <w:numFmt w:val="decimal"/>
      <w:pStyle w:val="Heading1"/>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0AE487F"/>
    <w:multiLevelType w:val="hybridMultilevel"/>
    <w:tmpl w:val="C448A2E0"/>
    <w:lvl w:ilvl="0" w:tplc="04090001">
      <w:start w:val="1"/>
      <w:numFmt w:val="bullet"/>
      <w:lvlText w:val=""/>
      <w:lvlJc w:val="left"/>
      <w:pPr>
        <w:ind w:left="1776" w:hanging="360"/>
      </w:pPr>
      <w:rPr>
        <w:rFonts w:ascii="Symbol" w:hAnsi="Symbol" w:hint="default"/>
      </w:rPr>
    </w:lvl>
    <w:lvl w:ilvl="1" w:tplc="B1A21076">
      <w:start w:val="1"/>
      <w:numFmt w:val="bullet"/>
      <w:lvlText w:val=""/>
      <w:lvlJc w:val="left"/>
      <w:pPr>
        <w:ind w:left="2496" w:hanging="360"/>
      </w:pPr>
      <w:rPr>
        <w:rFonts w:ascii="Symbol" w:hAnsi="Symbol" w:hint="default"/>
      </w:rPr>
    </w:lvl>
    <w:lvl w:ilvl="2" w:tplc="04090005">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3" w15:restartNumberingAfterBreak="0">
    <w:nsid w:val="61497F61"/>
    <w:multiLevelType w:val="hybridMultilevel"/>
    <w:tmpl w:val="E968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F72152"/>
    <w:multiLevelType w:val="hybridMultilevel"/>
    <w:tmpl w:val="08EA4F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5" w15:restartNumberingAfterBreak="0">
    <w:nsid w:val="66244EBB"/>
    <w:multiLevelType w:val="hybridMultilevel"/>
    <w:tmpl w:val="67A25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D325FFD"/>
    <w:multiLevelType w:val="hybridMultilevel"/>
    <w:tmpl w:val="628E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7B363D8"/>
    <w:multiLevelType w:val="multilevel"/>
    <w:tmpl w:val="65BE9AE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7F565CF2"/>
    <w:multiLevelType w:val="hybridMultilevel"/>
    <w:tmpl w:val="FD987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20"/>
  </w:num>
  <w:num w:numId="3">
    <w:abstractNumId w:val="61"/>
  </w:num>
  <w:num w:numId="4">
    <w:abstractNumId w:val="37"/>
  </w:num>
  <w:num w:numId="5">
    <w:abstractNumId w:val="28"/>
  </w:num>
  <w:num w:numId="6">
    <w:abstractNumId w:val="15"/>
  </w:num>
  <w:num w:numId="7">
    <w:abstractNumId w:val="41"/>
  </w:num>
  <w:num w:numId="8">
    <w:abstractNumId w:val="26"/>
  </w:num>
  <w:num w:numId="9">
    <w:abstractNumId w:val="51"/>
  </w:num>
  <w:num w:numId="10">
    <w:abstractNumId w:val="48"/>
  </w:num>
  <w:num w:numId="11">
    <w:abstractNumId w:val="11"/>
  </w:num>
  <w:num w:numId="12">
    <w:abstractNumId w:val="40"/>
  </w:num>
  <w:num w:numId="13">
    <w:abstractNumId w:val="8"/>
  </w:num>
  <w:num w:numId="14">
    <w:abstractNumId w:val="45"/>
  </w:num>
  <w:num w:numId="15">
    <w:abstractNumId w:val="53"/>
  </w:num>
  <w:num w:numId="16">
    <w:abstractNumId w:val="19"/>
  </w:num>
  <w:num w:numId="17">
    <w:abstractNumId w:val="54"/>
  </w:num>
  <w:num w:numId="18">
    <w:abstractNumId w:val="9"/>
  </w:num>
  <w:num w:numId="19">
    <w:abstractNumId w:val="52"/>
  </w:num>
  <w:num w:numId="20">
    <w:abstractNumId w:val="0"/>
  </w:num>
  <w:num w:numId="21">
    <w:abstractNumId w:val="27"/>
  </w:num>
  <w:num w:numId="22">
    <w:abstractNumId w:val="12"/>
  </w:num>
  <w:num w:numId="23">
    <w:abstractNumId w:val="7"/>
  </w:num>
  <w:num w:numId="24">
    <w:abstractNumId w:val="29"/>
  </w:num>
  <w:num w:numId="25">
    <w:abstractNumId w:val="21"/>
  </w:num>
  <w:num w:numId="26">
    <w:abstractNumId w:val="39"/>
  </w:num>
  <w:num w:numId="27">
    <w:abstractNumId w:val="57"/>
  </w:num>
  <w:num w:numId="28">
    <w:abstractNumId w:val="46"/>
  </w:num>
  <w:num w:numId="29">
    <w:abstractNumId w:val="35"/>
  </w:num>
  <w:num w:numId="30">
    <w:abstractNumId w:val="24"/>
  </w:num>
  <w:num w:numId="31">
    <w:abstractNumId w:val="63"/>
  </w:num>
  <w:num w:numId="32">
    <w:abstractNumId w:val="2"/>
  </w:num>
  <w:num w:numId="33">
    <w:abstractNumId w:val="22"/>
  </w:num>
  <w:num w:numId="34">
    <w:abstractNumId w:val="55"/>
  </w:num>
  <w:num w:numId="35">
    <w:abstractNumId w:val="1"/>
  </w:num>
  <w:num w:numId="36">
    <w:abstractNumId w:val="47"/>
  </w:num>
  <w:num w:numId="37">
    <w:abstractNumId w:val="6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40"/>
    <w:rsid w:val="00001DDF"/>
    <w:rsid w:val="000029E1"/>
    <w:rsid w:val="0000322D"/>
    <w:rsid w:val="00004874"/>
    <w:rsid w:val="00007670"/>
    <w:rsid w:val="00010665"/>
    <w:rsid w:val="00017DF0"/>
    <w:rsid w:val="0002393A"/>
    <w:rsid w:val="00027DB8"/>
    <w:rsid w:val="00031A96"/>
    <w:rsid w:val="00040BF3"/>
    <w:rsid w:val="0004211C"/>
    <w:rsid w:val="00042721"/>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2202"/>
    <w:rsid w:val="00176123"/>
    <w:rsid w:val="00181620"/>
    <w:rsid w:val="00187130"/>
    <w:rsid w:val="001957AD"/>
    <w:rsid w:val="00196F8E"/>
    <w:rsid w:val="001A2B7F"/>
    <w:rsid w:val="001A3AFD"/>
    <w:rsid w:val="001A496C"/>
    <w:rsid w:val="001A576A"/>
    <w:rsid w:val="001B28DA"/>
    <w:rsid w:val="001B2B6C"/>
    <w:rsid w:val="001B4636"/>
    <w:rsid w:val="001C01F3"/>
    <w:rsid w:val="001C5DC6"/>
    <w:rsid w:val="001D01C4"/>
    <w:rsid w:val="001D06C9"/>
    <w:rsid w:val="001D4F99"/>
    <w:rsid w:val="001D52B0"/>
    <w:rsid w:val="001D5A18"/>
    <w:rsid w:val="001D7CA4"/>
    <w:rsid w:val="001D7F74"/>
    <w:rsid w:val="001E057F"/>
    <w:rsid w:val="001E14EB"/>
    <w:rsid w:val="001E2CC1"/>
    <w:rsid w:val="001F59E6"/>
    <w:rsid w:val="00203F1C"/>
    <w:rsid w:val="002045FB"/>
    <w:rsid w:val="00206936"/>
    <w:rsid w:val="00206C6F"/>
    <w:rsid w:val="00206FBD"/>
    <w:rsid w:val="00207746"/>
    <w:rsid w:val="00230031"/>
    <w:rsid w:val="00233E2A"/>
    <w:rsid w:val="00235C01"/>
    <w:rsid w:val="00244802"/>
    <w:rsid w:val="0024492B"/>
    <w:rsid w:val="00247343"/>
    <w:rsid w:val="00255EEE"/>
    <w:rsid w:val="00262D29"/>
    <w:rsid w:val="00265C56"/>
    <w:rsid w:val="002716CD"/>
    <w:rsid w:val="00274D4B"/>
    <w:rsid w:val="002806F5"/>
    <w:rsid w:val="00281577"/>
    <w:rsid w:val="00287D73"/>
    <w:rsid w:val="002926BC"/>
    <w:rsid w:val="00293A72"/>
    <w:rsid w:val="00293AEE"/>
    <w:rsid w:val="002A0160"/>
    <w:rsid w:val="002A2972"/>
    <w:rsid w:val="002A30C3"/>
    <w:rsid w:val="002A638E"/>
    <w:rsid w:val="002A6F6A"/>
    <w:rsid w:val="002A7712"/>
    <w:rsid w:val="002B0AB4"/>
    <w:rsid w:val="002B38F7"/>
    <w:rsid w:val="002B4F50"/>
    <w:rsid w:val="002B5591"/>
    <w:rsid w:val="002B6AA4"/>
    <w:rsid w:val="002C1FE9"/>
    <w:rsid w:val="002D3A57"/>
    <w:rsid w:val="002D6524"/>
    <w:rsid w:val="002D7D05"/>
    <w:rsid w:val="002E20C8"/>
    <w:rsid w:val="002E2946"/>
    <w:rsid w:val="002E4290"/>
    <w:rsid w:val="002E66A6"/>
    <w:rsid w:val="002F0DB1"/>
    <w:rsid w:val="002F2885"/>
    <w:rsid w:val="002F45A1"/>
    <w:rsid w:val="0030203D"/>
    <w:rsid w:val="003037F9"/>
    <w:rsid w:val="0030583E"/>
    <w:rsid w:val="00307FE1"/>
    <w:rsid w:val="00310F49"/>
    <w:rsid w:val="00312F91"/>
    <w:rsid w:val="003164BA"/>
    <w:rsid w:val="003258E6"/>
    <w:rsid w:val="00342283"/>
    <w:rsid w:val="00343A87"/>
    <w:rsid w:val="00344A36"/>
    <w:rsid w:val="003456F4"/>
    <w:rsid w:val="00347FB6"/>
    <w:rsid w:val="003504FD"/>
    <w:rsid w:val="00350881"/>
    <w:rsid w:val="00353EDE"/>
    <w:rsid w:val="00357D55"/>
    <w:rsid w:val="003611C4"/>
    <w:rsid w:val="00363513"/>
    <w:rsid w:val="003657E5"/>
    <w:rsid w:val="0036589C"/>
    <w:rsid w:val="00371312"/>
    <w:rsid w:val="00371DC7"/>
    <w:rsid w:val="00372732"/>
    <w:rsid w:val="00377B21"/>
    <w:rsid w:val="00382A7F"/>
    <w:rsid w:val="00390862"/>
    <w:rsid w:val="00390CE3"/>
    <w:rsid w:val="00391359"/>
    <w:rsid w:val="00394876"/>
    <w:rsid w:val="00394AAF"/>
    <w:rsid w:val="00394CE5"/>
    <w:rsid w:val="003A6341"/>
    <w:rsid w:val="003B4ED9"/>
    <w:rsid w:val="003B51C6"/>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28BF"/>
    <w:rsid w:val="00414CB3"/>
    <w:rsid w:val="0041563D"/>
    <w:rsid w:val="00426E25"/>
    <w:rsid w:val="00427D9C"/>
    <w:rsid w:val="00427E7E"/>
    <w:rsid w:val="0043465D"/>
    <w:rsid w:val="00435082"/>
    <w:rsid w:val="00443B6E"/>
    <w:rsid w:val="00443E0C"/>
    <w:rsid w:val="00450636"/>
    <w:rsid w:val="0045420A"/>
    <w:rsid w:val="00455357"/>
    <w:rsid w:val="004554D4"/>
    <w:rsid w:val="00457C2D"/>
    <w:rsid w:val="004609AD"/>
    <w:rsid w:val="00461744"/>
    <w:rsid w:val="00466185"/>
    <w:rsid w:val="00466303"/>
    <w:rsid w:val="004668A7"/>
    <w:rsid w:val="00466D96"/>
    <w:rsid w:val="00467747"/>
    <w:rsid w:val="00470017"/>
    <w:rsid w:val="0047105A"/>
    <w:rsid w:val="00472568"/>
    <w:rsid w:val="00473C98"/>
    <w:rsid w:val="00474965"/>
    <w:rsid w:val="00482DF8"/>
    <w:rsid w:val="004864DE"/>
    <w:rsid w:val="00494BE5"/>
    <w:rsid w:val="004A0EBA"/>
    <w:rsid w:val="004A2538"/>
    <w:rsid w:val="004A331E"/>
    <w:rsid w:val="004B0C15"/>
    <w:rsid w:val="004B35EA"/>
    <w:rsid w:val="004B69E4"/>
    <w:rsid w:val="004C577A"/>
    <w:rsid w:val="004C6C39"/>
    <w:rsid w:val="004D075F"/>
    <w:rsid w:val="004D1B76"/>
    <w:rsid w:val="004D1DF4"/>
    <w:rsid w:val="004D344E"/>
    <w:rsid w:val="004D464A"/>
    <w:rsid w:val="004E019E"/>
    <w:rsid w:val="004E06EC"/>
    <w:rsid w:val="004E0A3F"/>
    <w:rsid w:val="004E2CB7"/>
    <w:rsid w:val="004E3BA9"/>
    <w:rsid w:val="004F016A"/>
    <w:rsid w:val="004F7258"/>
    <w:rsid w:val="00500F94"/>
    <w:rsid w:val="00502FB3"/>
    <w:rsid w:val="00503DE9"/>
    <w:rsid w:val="0050530C"/>
    <w:rsid w:val="00505DEA"/>
    <w:rsid w:val="00507782"/>
    <w:rsid w:val="00512572"/>
    <w:rsid w:val="00512A04"/>
    <w:rsid w:val="00520499"/>
    <w:rsid w:val="005249F5"/>
    <w:rsid w:val="005260F7"/>
    <w:rsid w:val="00540EB9"/>
    <w:rsid w:val="00543BD1"/>
    <w:rsid w:val="00556113"/>
    <w:rsid w:val="00564C12"/>
    <w:rsid w:val="005654B8"/>
    <w:rsid w:val="00570C40"/>
    <w:rsid w:val="00570D94"/>
    <w:rsid w:val="00574D69"/>
    <w:rsid w:val="005762CC"/>
    <w:rsid w:val="00582D3D"/>
    <w:rsid w:val="00590040"/>
    <w:rsid w:val="00595386"/>
    <w:rsid w:val="005963D9"/>
    <w:rsid w:val="00597234"/>
    <w:rsid w:val="005A4AC0"/>
    <w:rsid w:val="005A539B"/>
    <w:rsid w:val="005A56FF"/>
    <w:rsid w:val="005A5FDF"/>
    <w:rsid w:val="005B0FB7"/>
    <w:rsid w:val="005B122A"/>
    <w:rsid w:val="005B1C19"/>
    <w:rsid w:val="005B1FCB"/>
    <w:rsid w:val="005B5AC2"/>
    <w:rsid w:val="005C2833"/>
    <w:rsid w:val="005E144D"/>
    <w:rsid w:val="005E1500"/>
    <w:rsid w:val="005E3A43"/>
    <w:rsid w:val="005F0B17"/>
    <w:rsid w:val="005F6602"/>
    <w:rsid w:val="005F77C7"/>
    <w:rsid w:val="00606485"/>
    <w:rsid w:val="0061761A"/>
    <w:rsid w:val="00620675"/>
    <w:rsid w:val="00622910"/>
    <w:rsid w:val="006254B6"/>
    <w:rsid w:val="00627FC8"/>
    <w:rsid w:val="00631A88"/>
    <w:rsid w:val="006433C3"/>
    <w:rsid w:val="00643494"/>
    <w:rsid w:val="00650F5B"/>
    <w:rsid w:val="006670D7"/>
    <w:rsid w:val="006719EA"/>
    <w:rsid w:val="00671F13"/>
    <w:rsid w:val="0067400A"/>
    <w:rsid w:val="006847AD"/>
    <w:rsid w:val="0069114B"/>
    <w:rsid w:val="006944C1"/>
    <w:rsid w:val="006A0D9D"/>
    <w:rsid w:val="006A59DD"/>
    <w:rsid w:val="006A756A"/>
    <w:rsid w:val="006C0EC2"/>
    <w:rsid w:val="006D66F7"/>
    <w:rsid w:val="006F3FBD"/>
    <w:rsid w:val="00705C9D"/>
    <w:rsid w:val="00705F13"/>
    <w:rsid w:val="0070624C"/>
    <w:rsid w:val="00714F1D"/>
    <w:rsid w:val="00715225"/>
    <w:rsid w:val="0071700C"/>
    <w:rsid w:val="00720662"/>
    <w:rsid w:val="00720CC6"/>
    <w:rsid w:val="00722DDB"/>
    <w:rsid w:val="00724728"/>
    <w:rsid w:val="00724F98"/>
    <w:rsid w:val="00730760"/>
    <w:rsid w:val="00730B9B"/>
    <w:rsid w:val="0073182E"/>
    <w:rsid w:val="007332FF"/>
    <w:rsid w:val="007408F5"/>
    <w:rsid w:val="00740D4E"/>
    <w:rsid w:val="00741EAE"/>
    <w:rsid w:val="007458AC"/>
    <w:rsid w:val="00755248"/>
    <w:rsid w:val="0076190B"/>
    <w:rsid w:val="0076355D"/>
    <w:rsid w:val="00763A2D"/>
    <w:rsid w:val="007676A4"/>
    <w:rsid w:val="007734BD"/>
    <w:rsid w:val="00777795"/>
    <w:rsid w:val="00783A57"/>
    <w:rsid w:val="00784C92"/>
    <w:rsid w:val="007859CD"/>
    <w:rsid w:val="00785C24"/>
    <w:rsid w:val="007907E4"/>
    <w:rsid w:val="00796461"/>
    <w:rsid w:val="007A6A4F"/>
    <w:rsid w:val="007B03F5"/>
    <w:rsid w:val="007B5C09"/>
    <w:rsid w:val="007B5DA2"/>
    <w:rsid w:val="007B5F8C"/>
    <w:rsid w:val="007C0966"/>
    <w:rsid w:val="007C19E7"/>
    <w:rsid w:val="007C5CFD"/>
    <w:rsid w:val="007C6205"/>
    <w:rsid w:val="007C6D9F"/>
    <w:rsid w:val="007D4893"/>
    <w:rsid w:val="007E70CF"/>
    <w:rsid w:val="007E74A4"/>
    <w:rsid w:val="007F1B6F"/>
    <w:rsid w:val="007F263F"/>
    <w:rsid w:val="007F2A31"/>
    <w:rsid w:val="008015A8"/>
    <w:rsid w:val="00805501"/>
    <w:rsid w:val="00806C70"/>
    <w:rsid w:val="0080766E"/>
    <w:rsid w:val="00811169"/>
    <w:rsid w:val="00815297"/>
    <w:rsid w:val="008170DB"/>
    <w:rsid w:val="00817BA1"/>
    <w:rsid w:val="00823022"/>
    <w:rsid w:val="0082634E"/>
    <w:rsid w:val="008313C4"/>
    <w:rsid w:val="00835434"/>
    <w:rsid w:val="008358C0"/>
    <w:rsid w:val="00842838"/>
    <w:rsid w:val="0084502D"/>
    <w:rsid w:val="00854EC1"/>
    <w:rsid w:val="0085797F"/>
    <w:rsid w:val="00861DC3"/>
    <w:rsid w:val="00867019"/>
    <w:rsid w:val="00872EF1"/>
    <w:rsid w:val="008735A9"/>
    <w:rsid w:val="00877BC5"/>
    <w:rsid w:val="00877D20"/>
    <w:rsid w:val="00881C48"/>
    <w:rsid w:val="008851FB"/>
    <w:rsid w:val="00885B80"/>
    <w:rsid w:val="00885C30"/>
    <w:rsid w:val="00885E9B"/>
    <w:rsid w:val="00886CC2"/>
    <w:rsid w:val="0089368E"/>
    <w:rsid w:val="00893C96"/>
    <w:rsid w:val="0089500A"/>
    <w:rsid w:val="00897C94"/>
    <w:rsid w:val="008A4B30"/>
    <w:rsid w:val="008A514A"/>
    <w:rsid w:val="008A5CCA"/>
    <w:rsid w:val="008A7C12"/>
    <w:rsid w:val="008B03CE"/>
    <w:rsid w:val="008B529E"/>
    <w:rsid w:val="008C17FB"/>
    <w:rsid w:val="008C30DF"/>
    <w:rsid w:val="008C70BB"/>
    <w:rsid w:val="008D1B00"/>
    <w:rsid w:val="008D57B8"/>
    <w:rsid w:val="008E03FC"/>
    <w:rsid w:val="008E510B"/>
    <w:rsid w:val="00902B13"/>
    <w:rsid w:val="009041FE"/>
    <w:rsid w:val="00911941"/>
    <w:rsid w:val="00912CB9"/>
    <w:rsid w:val="009164A5"/>
    <w:rsid w:val="0092024D"/>
    <w:rsid w:val="00925146"/>
    <w:rsid w:val="00925F0F"/>
    <w:rsid w:val="00932F6B"/>
    <w:rsid w:val="009444F0"/>
    <w:rsid w:val="009468BC"/>
    <w:rsid w:val="00947FAE"/>
    <w:rsid w:val="009616DF"/>
    <w:rsid w:val="009621B9"/>
    <w:rsid w:val="0096264D"/>
    <w:rsid w:val="0096542F"/>
    <w:rsid w:val="00967FA7"/>
    <w:rsid w:val="00971645"/>
    <w:rsid w:val="00972E0B"/>
    <w:rsid w:val="00977919"/>
    <w:rsid w:val="00983000"/>
    <w:rsid w:val="009870FA"/>
    <w:rsid w:val="009902B3"/>
    <w:rsid w:val="009921C3"/>
    <w:rsid w:val="0099551D"/>
    <w:rsid w:val="009A4A0A"/>
    <w:rsid w:val="009A5897"/>
    <w:rsid w:val="009A5F24"/>
    <w:rsid w:val="009B0B3E"/>
    <w:rsid w:val="009B1913"/>
    <w:rsid w:val="009B6657"/>
    <w:rsid w:val="009B6966"/>
    <w:rsid w:val="009D0EB5"/>
    <w:rsid w:val="009D14F9"/>
    <w:rsid w:val="009D2B74"/>
    <w:rsid w:val="009D63FF"/>
    <w:rsid w:val="009E175D"/>
    <w:rsid w:val="009E32D3"/>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112F"/>
    <w:rsid w:val="00A567EE"/>
    <w:rsid w:val="00A70DD8"/>
    <w:rsid w:val="00A71521"/>
    <w:rsid w:val="00A76790"/>
    <w:rsid w:val="00A8582B"/>
    <w:rsid w:val="00A85D0C"/>
    <w:rsid w:val="00A925EC"/>
    <w:rsid w:val="00A929AA"/>
    <w:rsid w:val="00A92B6B"/>
    <w:rsid w:val="00AA541E"/>
    <w:rsid w:val="00AA6D1D"/>
    <w:rsid w:val="00AD0DA4"/>
    <w:rsid w:val="00AD4169"/>
    <w:rsid w:val="00AE25C6"/>
    <w:rsid w:val="00AE2F2C"/>
    <w:rsid w:val="00AE306C"/>
    <w:rsid w:val="00AF28C1"/>
    <w:rsid w:val="00AF7329"/>
    <w:rsid w:val="00B02EF1"/>
    <w:rsid w:val="00B07C97"/>
    <w:rsid w:val="00B11C67"/>
    <w:rsid w:val="00B14257"/>
    <w:rsid w:val="00B15754"/>
    <w:rsid w:val="00B16002"/>
    <w:rsid w:val="00B2046E"/>
    <w:rsid w:val="00B20E8B"/>
    <w:rsid w:val="00B257E1"/>
    <w:rsid w:val="00B2599A"/>
    <w:rsid w:val="00B27AC4"/>
    <w:rsid w:val="00B343CC"/>
    <w:rsid w:val="00B34949"/>
    <w:rsid w:val="00B435F4"/>
    <w:rsid w:val="00B5084A"/>
    <w:rsid w:val="00B606A1"/>
    <w:rsid w:val="00B614F7"/>
    <w:rsid w:val="00B61B26"/>
    <w:rsid w:val="00B65E6B"/>
    <w:rsid w:val="00B675B2"/>
    <w:rsid w:val="00B81261"/>
    <w:rsid w:val="00B8223E"/>
    <w:rsid w:val="00B832AE"/>
    <w:rsid w:val="00B854EB"/>
    <w:rsid w:val="00B86678"/>
    <w:rsid w:val="00B86D1F"/>
    <w:rsid w:val="00B92F9B"/>
    <w:rsid w:val="00B941B3"/>
    <w:rsid w:val="00B96513"/>
    <w:rsid w:val="00BA1D47"/>
    <w:rsid w:val="00BA66F0"/>
    <w:rsid w:val="00BB01C3"/>
    <w:rsid w:val="00BB0901"/>
    <w:rsid w:val="00BB2239"/>
    <w:rsid w:val="00BB2AE7"/>
    <w:rsid w:val="00BB6464"/>
    <w:rsid w:val="00BC1BB8"/>
    <w:rsid w:val="00BD7FE1"/>
    <w:rsid w:val="00BE217A"/>
    <w:rsid w:val="00BE37CA"/>
    <w:rsid w:val="00BE6144"/>
    <w:rsid w:val="00BE635A"/>
    <w:rsid w:val="00BE6614"/>
    <w:rsid w:val="00BF17E9"/>
    <w:rsid w:val="00BF2ABB"/>
    <w:rsid w:val="00BF5099"/>
    <w:rsid w:val="00C10B5E"/>
    <w:rsid w:val="00C10F10"/>
    <w:rsid w:val="00C15D4D"/>
    <w:rsid w:val="00C175DC"/>
    <w:rsid w:val="00C248B8"/>
    <w:rsid w:val="00C30171"/>
    <w:rsid w:val="00C309D8"/>
    <w:rsid w:val="00C43519"/>
    <w:rsid w:val="00C45210"/>
    <w:rsid w:val="00C45263"/>
    <w:rsid w:val="00C50401"/>
    <w:rsid w:val="00C51537"/>
    <w:rsid w:val="00C5204F"/>
    <w:rsid w:val="00C52BC3"/>
    <w:rsid w:val="00C61AFA"/>
    <w:rsid w:val="00C61D64"/>
    <w:rsid w:val="00C62099"/>
    <w:rsid w:val="00C62A34"/>
    <w:rsid w:val="00C64EA3"/>
    <w:rsid w:val="00C72867"/>
    <w:rsid w:val="00C75E81"/>
    <w:rsid w:val="00C77363"/>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27BB"/>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E7624"/>
    <w:rsid w:val="00DF0487"/>
    <w:rsid w:val="00DF5EA4"/>
    <w:rsid w:val="00E02681"/>
    <w:rsid w:val="00E02792"/>
    <w:rsid w:val="00E034D8"/>
    <w:rsid w:val="00E04CC0"/>
    <w:rsid w:val="00E12A65"/>
    <w:rsid w:val="00E15816"/>
    <w:rsid w:val="00E160D5"/>
    <w:rsid w:val="00E21B48"/>
    <w:rsid w:val="00E239FF"/>
    <w:rsid w:val="00E27D7B"/>
    <w:rsid w:val="00E30556"/>
    <w:rsid w:val="00E30981"/>
    <w:rsid w:val="00E33136"/>
    <w:rsid w:val="00E34412"/>
    <w:rsid w:val="00E34D7C"/>
    <w:rsid w:val="00E3723D"/>
    <w:rsid w:val="00E445E7"/>
    <w:rsid w:val="00E44C89"/>
    <w:rsid w:val="00E457A6"/>
    <w:rsid w:val="00E54F9E"/>
    <w:rsid w:val="00E54FC7"/>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0F6D"/>
    <w:rsid w:val="00F5696E"/>
    <w:rsid w:val="00F60EFF"/>
    <w:rsid w:val="00F65271"/>
    <w:rsid w:val="00F67D2D"/>
    <w:rsid w:val="00F838E1"/>
    <w:rsid w:val="00F858F2"/>
    <w:rsid w:val="00F860CC"/>
    <w:rsid w:val="00F872AD"/>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FDA3"/>
  <w15:docId w15:val="{484601D7-2E52-4918-83D4-24CEF55D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C7"/>
    <w:pPr>
      <w:jc w:val="both"/>
    </w:pPr>
    <w:rPr>
      <w:rFonts w:ascii="Lato" w:hAnsi="Lato"/>
    </w:rPr>
  </w:style>
  <w:style w:type="paragraph" w:styleId="Heading1">
    <w:name w:val="heading 1"/>
    <w:basedOn w:val="Normal"/>
    <w:next w:val="Normal"/>
    <w:link w:val="Heading1Char"/>
    <w:uiPriority w:val="2"/>
    <w:qFormat/>
    <w:rsid w:val="00353EDE"/>
    <w:pPr>
      <w:keepNext/>
      <w:keepLines/>
      <w:numPr>
        <w:numId w:val="9"/>
      </w:numPr>
      <w:spacing w:before="240"/>
      <w:ind w:left="357" w:hanging="357"/>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353EDE"/>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locked/>
    <w:rsid w:val="00E34412"/>
    <w:rPr>
      <w:rFonts w:ascii="Lato" w:eastAsiaTheme="minorEastAsia" w:hAnsi="Lato"/>
      <w:iCs/>
    </w:rPr>
  </w:style>
  <w:style w:type="paragraph" w:customStyle="1" w:styleId="Default">
    <w:name w:val="Default"/>
    <w:rsid w:val="004D1DF4"/>
    <w:pPr>
      <w:autoSpaceDE w:val="0"/>
      <w:autoSpaceDN w:val="0"/>
      <w:adjustRightInd w:val="0"/>
      <w:spacing w:after="0"/>
    </w:pPr>
    <w:rPr>
      <w:rFonts w:eastAsiaTheme="minorEastAsia" w:cs="Arial"/>
      <w:color w:val="000000"/>
      <w:sz w:val="24"/>
      <w:szCs w:val="24"/>
      <w:lang w:eastAsia="en-AU"/>
    </w:rPr>
  </w:style>
  <w:style w:type="paragraph" w:styleId="FootnoteText">
    <w:name w:val="footnote text"/>
    <w:basedOn w:val="Normal"/>
    <w:link w:val="FootnoteTextChar"/>
    <w:uiPriority w:val="99"/>
    <w:semiHidden/>
    <w:unhideWhenUsed/>
    <w:rsid w:val="004D1DF4"/>
    <w:pPr>
      <w:spacing w:after="0"/>
      <w:jc w:val="left"/>
    </w:pPr>
    <w:rPr>
      <w:rFonts w:eastAsiaTheme="minorEastAsia" w:cstheme="minorBidi"/>
      <w:sz w:val="20"/>
      <w:szCs w:val="20"/>
      <w:lang w:eastAsia="en-AU"/>
    </w:rPr>
  </w:style>
  <w:style w:type="character" w:customStyle="1" w:styleId="FootnoteTextChar">
    <w:name w:val="Footnote Text Char"/>
    <w:basedOn w:val="DefaultParagraphFont"/>
    <w:link w:val="FootnoteText"/>
    <w:uiPriority w:val="99"/>
    <w:semiHidden/>
    <w:rsid w:val="004D1DF4"/>
    <w:rPr>
      <w:rFonts w:ascii="Lato" w:eastAsiaTheme="minorEastAsia" w:hAnsi="Lato" w:cstheme="minorBidi"/>
      <w:sz w:val="20"/>
      <w:szCs w:val="20"/>
      <w:lang w:eastAsia="en-AU"/>
    </w:rPr>
  </w:style>
  <w:style w:type="character" w:styleId="FootnoteReference">
    <w:name w:val="footnote reference"/>
    <w:basedOn w:val="DefaultParagraphFont"/>
    <w:uiPriority w:val="99"/>
    <w:semiHidden/>
    <w:unhideWhenUsed/>
    <w:rsid w:val="004D1DF4"/>
    <w:rPr>
      <w:vertAlign w:val="superscript"/>
    </w:rPr>
  </w:style>
  <w:style w:type="character" w:styleId="CommentReference">
    <w:name w:val="annotation reference"/>
    <w:basedOn w:val="DefaultParagraphFont"/>
    <w:uiPriority w:val="99"/>
    <w:semiHidden/>
    <w:unhideWhenUsed/>
    <w:rsid w:val="00F65271"/>
    <w:rPr>
      <w:sz w:val="16"/>
      <w:szCs w:val="16"/>
    </w:rPr>
  </w:style>
  <w:style w:type="paragraph" w:styleId="CommentText">
    <w:name w:val="annotation text"/>
    <w:basedOn w:val="Normal"/>
    <w:link w:val="CommentTextChar"/>
    <w:uiPriority w:val="99"/>
    <w:semiHidden/>
    <w:unhideWhenUsed/>
    <w:rsid w:val="00F65271"/>
    <w:rPr>
      <w:sz w:val="20"/>
      <w:szCs w:val="20"/>
    </w:rPr>
  </w:style>
  <w:style w:type="character" w:customStyle="1" w:styleId="CommentTextChar">
    <w:name w:val="Comment Text Char"/>
    <w:basedOn w:val="DefaultParagraphFont"/>
    <w:link w:val="CommentText"/>
    <w:uiPriority w:val="99"/>
    <w:semiHidden/>
    <w:rsid w:val="00F6527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65271"/>
    <w:rPr>
      <w:b/>
      <w:bCs/>
    </w:rPr>
  </w:style>
  <w:style w:type="character" w:customStyle="1" w:styleId="CommentSubjectChar">
    <w:name w:val="Comment Subject Char"/>
    <w:basedOn w:val="CommentTextChar"/>
    <w:link w:val="CommentSubject"/>
    <w:uiPriority w:val="99"/>
    <w:semiHidden/>
    <w:rsid w:val="00F6527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8044892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ocpe.nt.gov.au/employment-conditions-appeals-grievances/code-of-conduct" TargetMode="External"/><Relationship Id="rId2" Type="http://schemas.openxmlformats.org/officeDocument/2006/relationships/hyperlink" Target="https://legislation.nt.gov.au/Legislation/PUBLIC-SECTOR-EMPLOYMENT-AND-MANAGEMENT-ACT-1993" TargetMode="External"/><Relationship Id="rId1" Type="http://schemas.openxmlformats.org/officeDocument/2006/relationships/hyperlink" Target="https://legislation.nt.gov.au/Legislation/HEALTH-SERVICE-ACT-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fj\AppData\Local\Packages\Microsoft.MicrosoftEdge_8wekyb3d8bbwe\TempState\Downloads\ntg-short-portrai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04EFB95-D821-40DB-B693-7D23F6DB42FB}"/>
      </w:docPartPr>
      <w:docPartBody>
        <w:p w:rsidR="00994B5F" w:rsidRDefault="00D42569">
          <w:r w:rsidRPr="007F53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92D2599-BD38-4B36-9022-98923B9CA6FF}"/>
      </w:docPartPr>
      <w:docPartBody>
        <w:p w:rsidR="00994B5F" w:rsidRDefault="00D42569">
          <w:r w:rsidRPr="007F53D4">
            <w:rPr>
              <w:rStyle w:val="PlaceholderText"/>
            </w:rPr>
            <w:t>Click or tap here to enter text.</w:t>
          </w:r>
        </w:p>
      </w:docPartBody>
    </w:docPart>
    <w:docPart>
      <w:docPartPr>
        <w:name w:val="7A348C56DA6443ECAC740CD4715FF2A8"/>
        <w:category>
          <w:name w:val="General"/>
          <w:gallery w:val="placeholder"/>
        </w:category>
        <w:types>
          <w:type w:val="bbPlcHdr"/>
        </w:types>
        <w:behaviors>
          <w:behavior w:val="content"/>
        </w:behaviors>
        <w:guid w:val="{4EE904C4-301D-4BE2-AC5C-D9FB190EA3D3}"/>
      </w:docPartPr>
      <w:docPartBody>
        <w:p w:rsidR="00534865" w:rsidRDefault="007E5B59" w:rsidP="007E5B59">
          <w:pPr>
            <w:pStyle w:val="7A348C56DA6443ECAC740CD4715FF2A8"/>
          </w:pPr>
          <w:r w:rsidRPr="007F53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oximaNova-Semibold">
    <w:altName w:val="Cambria"/>
    <w:panose1 w:val="00000000000000000000"/>
    <w:charset w:val="00"/>
    <w:family w:val="auto"/>
    <w:notTrueType/>
    <w:pitch w:val="default"/>
    <w:sig w:usb0="00000003" w:usb1="00000000" w:usb2="00000000" w:usb3="00000000" w:csb0="00000001" w:csb1="00000000"/>
  </w:font>
  <w:font w:name="Vaud-Bold">
    <w:panose1 w:val="00000000000000000000"/>
    <w:charset w:val="00"/>
    <w:family w:val="swiss"/>
    <w:notTrueType/>
    <w:pitch w:val="default"/>
    <w:sig w:usb0="00000003" w:usb1="00000000" w:usb2="00000000" w:usb3="00000000" w:csb0="00000001" w:csb1="00000000"/>
  </w:font>
  <w:font w:name="Vau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9"/>
    <w:rsid w:val="002F3FDF"/>
    <w:rsid w:val="00344FC3"/>
    <w:rsid w:val="004D231C"/>
    <w:rsid w:val="004F5202"/>
    <w:rsid w:val="005151AD"/>
    <w:rsid w:val="00534865"/>
    <w:rsid w:val="007E5B59"/>
    <w:rsid w:val="008B4423"/>
    <w:rsid w:val="00994B5F"/>
    <w:rsid w:val="00A36B28"/>
    <w:rsid w:val="00D072C2"/>
    <w:rsid w:val="00D42569"/>
    <w:rsid w:val="00D81437"/>
    <w:rsid w:val="00DA5394"/>
    <w:rsid w:val="00DC0B22"/>
    <w:rsid w:val="00F65AF3"/>
    <w:rsid w:val="00FB504B"/>
    <w:rsid w:val="00FD4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B59"/>
    <w:rPr>
      <w:color w:val="808080"/>
    </w:rPr>
  </w:style>
  <w:style w:type="paragraph" w:customStyle="1" w:styleId="7A348C56DA6443ECAC740CD4715FF2A8">
    <w:name w:val="7A348C56DA6443ECAC740CD4715FF2A8"/>
    <w:rsid w:val="007E5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E0C96-EA5F-4966-86DF-CC652B70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1</TotalTime>
  <Pages>11</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Terms of Reference 
Northern Territory Clinical Senate</vt:lpstr>
    </vt:vector>
  </TitlesOfParts>
  <Company>Health</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Northern Territory Clinical Senate</dc:title>
  <dc:subject>Northern Territory Clinical Senate Committee</dc:subject>
  <dc:creator>Northern Territory Government</dc:creator>
  <cp:lastModifiedBy>Marlene Woods</cp:lastModifiedBy>
  <cp:revision>3</cp:revision>
  <cp:lastPrinted>2022-06-15T01:46:00Z</cp:lastPrinted>
  <dcterms:created xsi:type="dcterms:W3CDTF">2022-06-22T02:01:00Z</dcterms:created>
  <dcterms:modified xsi:type="dcterms:W3CDTF">2022-06-22T02:25:00Z</dcterms:modified>
</cp:coreProperties>
</file>