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42"/>
      </w:tblGrid>
      <w:tr w:rsidR="00615032" w14:paraId="0438A176" w14:textId="77777777" w:rsidTr="00A85348">
        <w:tc>
          <w:tcPr>
            <w:tcW w:w="9242" w:type="dxa"/>
          </w:tcPr>
          <w:p w14:paraId="3040E2E3" w14:textId="77777777" w:rsidR="00615032" w:rsidRPr="00421DA0" w:rsidRDefault="00615032" w:rsidP="00A85348">
            <w:pPr>
              <w:pStyle w:val="Default"/>
              <w:jc w:val="center"/>
              <w:rPr>
                <w:b/>
                <w:bCs/>
                <w:color w:val="E36C0A" w:themeColor="accent6" w:themeShade="BF"/>
                <w:sz w:val="30"/>
                <w:szCs w:val="30"/>
              </w:rPr>
            </w:pPr>
            <w:r w:rsidRPr="00421DA0">
              <w:rPr>
                <w:b/>
                <w:bCs/>
                <w:color w:val="E36C0A" w:themeColor="accent6" w:themeShade="BF"/>
                <w:sz w:val="30"/>
                <w:szCs w:val="30"/>
              </w:rPr>
              <w:t>PHARMACY PREMISES COMMITTEE OF THE NORTHERN TERRITORY</w:t>
            </w:r>
          </w:p>
          <w:p w14:paraId="444CEF2A" w14:textId="77777777" w:rsidR="00615032" w:rsidRPr="00421DA0" w:rsidRDefault="00615032" w:rsidP="00A85348">
            <w:pPr>
              <w:pStyle w:val="Default"/>
              <w:jc w:val="center"/>
              <w:rPr>
                <w:b/>
                <w:bCs/>
                <w:color w:val="E36C0A" w:themeColor="accent6" w:themeShade="BF"/>
                <w:sz w:val="14"/>
                <w:szCs w:val="14"/>
              </w:rPr>
            </w:pPr>
          </w:p>
          <w:p w14:paraId="567FE9C9" w14:textId="0EE2172E" w:rsidR="00615032" w:rsidRDefault="00615032" w:rsidP="00615032">
            <w:pPr>
              <w:pStyle w:val="Default"/>
              <w:jc w:val="center"/>
            </w:pPr>
            <w:r w:rsidRPr="00421DA0">
              <w:rPr>
                <w:b/>
                <w:bCs/>
                <w:color w:val="E36C0A" w:themeColor="accent6" w:themeShade="BF"/>
                <w:sz w:val="30"/>
                <w:szCs w:val="30"/>
              </w:rPr>
              <w:t>PG</w:t>
            </w:r>
            <w:r>
              <w:rPr>
                <w:b/>
                <w:bCs/>
                <w:color w:val="E36C0A" w:themeColor="accent6" w:themeShade="BF"/>
                <w:sz w:val="30"/>
                <w:szCs w:val="30"/>
              </w:rPr>
              <w:t>7:</w:t>
            </w:r>
            <w:r w:rsidRPr="00421DA0">
              <w:rPr>
                <w:b/>
                <w:bCs/>
                <w:color w:val="E36C0A" w:themeColor="accent6" w:themeShade="BF"/>
                <w:sz w:val="30"/>
                <w:szCs w:val="30"/>
              </w:rPr>
              <w:t xml:space="preserve"> </w:t>
            </w:r>
            <w:r>
              <w:rPr>
                <w:b/>
                <w:bCs/>
                <w:color w:val="E36C0A" w:themeColor="accent6" w:themeShade="BF"/>
                <w:sz w:val="30"/>
                <w:szCs w:val="30"/>
              </w:rPr>
              <w:t>NT GUIDANCE – SERVICE AGREEMENTS</w:t>
            </w:r>
          </w:p>
        </w:tc>
      </w:tr>
    </w:tbl>
    <w:p w14:paraId="6C56DD90" w14:textId="332BC55C" w:rsidR="00C516A4" w:rsidRDefault="00615032" w:rsidP="00615032">
      <w:pPr>
        <w:pStyle w:val="BodyText"/>
        <w:spacing w:before="267"/>
        <w:ind w:left="140" w:right="207"/>
      </w:pPr>
      <w:r>
        <w:t>I</w:t>
      </w:r>
      <w:r w:rsidR="00821A7D">
        <w:t>t is not unusual for persons operating a pharmacy business to enter into an agreement with a service entity (often a related company or subsidiary) to assist in the operation and administration of the business. The services provided pursuant to such agreements usually include things like book keeping, administrative support, human resources and management, stock management, advertising and marketing and managing accounts payable and</w:t>
      </w:r>
      <w:r w:rsidR="00821A7D">
        <w:rPr>
          <w:spacing w:val="-1"/>
        </w:rPr>
        <w:t xml:space="preserve"> </w:t>
      </w:r>
      <w:r w:rsidR="00821A7D">
        <w:t>receivable.</w:t>
      </w:r>
    </w:p>
    <w:p w14:paraId="5B7EDC3D" w14:textId="77777777" w:rsidR="00C516A4" w:rsidRDefault="00C516A4" w:rsidP="00615032">
      <w:pPr>
        <w:pStyle w:val="BodyText"/>
        <w:ind w:left="140"/>
        <w:rPr>
          <w:sz w:val="23"/>
        </w:rPr>
      </w:pPr>
    </w:p>
    <w:p w14:paraId="2CD404FA" w14:textId="718F6F04" w:rsidR="00C516A4" w:rsidRDefault="00821A7D" w:rsidP="00615032">
      <w:pPr>
        <w:ind w:left="140" w:right="214"/>
      </w:pPr>
      <w:r>
        <w:t xml:space="preserve">When negotiating and entering into a Services Agreement it is very important to be aware of the undue influence provisions of the </w:t>
      </w:r>
      <w:r w:rsidR="00650C2D">
        <w:rPr>
          <w:i/>
        </w:rPr>
        <w:t>Health Practitioners Act</w:t>
      </w:r>
      <w:r>
        <w:rPr>
          <w:i/>
        </w:rPr>
        <w:t xml:space="preserve"> </w:t>
      </w:r>
      <w:r w:rsidR="00407E7E" w:rsidRPr="007872A3">
        <w:rPr>
          <w:i/>
        </w:rPr>
        <w:t>2004</w:t>
      </w:r>
      <w:r w:rsidR="00407E7E">
        <w:rPr>
          <w:i/>
        </w:rPr>
        <w:t xml:space="preserve"> </w:t>
      </w:r>
      <w:r>
        <w:t>(</w:t>
      </w:r>
      <w:r>
        <w:rPr>
          <w:b/>
        </w:rPr>
        <w:t>the Act</w:t>
      </w:r>
      <w:r>
        <w:t>).</w:t>
      </w:r>
    </w:p>
    <w:p w14:paraId="5CCFA51D" w14:textId="77777777" w:rsidR="00C516A4" w:rsidRDefault="00C516A4" w:rsidP="00615032">
      <w:pPr>
        <w:pStyle w:val="BodyText"/>
        <w:ind w:left="140"/>
        <w:rPr>
          <w:sz w:val="23"/>
        </w:rPr>
      </w:pPr>
    </w:p>
    <w:p w14:paraId="24FE2F84" w14:textId="77777777" w:rsidR="00C516A4" w:rsidRDefault="00821A7D" w:rsidP="00615032">
      <w:pPr>
        <w:spacing w:before="1"/>
        <w:ind w:left="140"/>
        <w:rPr>
          <w:b/>
        </w:rPr>
      </w:pPr>
      <w:r>
        <w:rPr>
          <w:b/>
          <w:u w:val="thick"/>
        </w:rPr>
        <w:t>Undue influence</w:t>
      </w:r>
    </w:p>
    <w:p w14:paraId="46719699" w14:textId="77777777" w:rsidR="00C516A4" w:rsidRDefault="00C516A4" w:rsidP="00615032">
      <w:pPr>
        <w:pStyle w:val="BodyText"/>
        <w:spacing w:before="10"/>
        <w:ind w:left="140"/>
        <w:rPr>
          <w:b/>
          <w:sz w:val="14"/>
        </w:rPr>
      </w:pPr>
    </w:p>
    <w:p w14:paraId="6F10D4C0" w14:textId="467ACD9C" w:rsidR="003E414C" w:rsidRPr="000C1B76" w:rsidRDefault="003E414C" w:rsidP="00615032">
      <w:pPr>
        <w:spacing w:before="94"/>
        <w:ind w:left="140"/>
      </w:pPr>
      <w:r w:rsidRPr="000C1B76">
        <w:t>Schedule 7 clause 2 of the Act in effect makes void any provision of a commercial arrangement that gives any person other than an authorised pharmacy business owner</w:t>
      </w:r>
      <w:r w:rsidR="00615032">
        <w:t xml:space="preserve"> t</w:t>
      </w:r>
      <w:r w:rsidRPr="000C1B76">
        <w:t xml:space="preserve">he right to </w:t>
      </w:r>
      <w:r>
        <w:t xml:space="preserve">exercise </w:t>
      </w:r>
      <w:r w:rsidRPr="00173C16">
        <w:rPr>
          <w:b/>
        </w:rPr>
        <w:t>any</w:t>
      </w:r>
      <w:r>
        <w:t xml:space="preserve"> </w:t>
      </w:r>
      <w:r w:rsidRPr="000C1B76">
        <w:t xml:space="preserve">control </w:t>
      </w:r>
      <w:r>
        <w:t xml:space="preserve">over the conduct of a </w:t>
      </w:r>
      <w:r w:rsidRPr="000C1B76">
        <w:t>pharmacy business</w:t>
      </w:r>
      <w:r>
        <w:t>.</w:t>
      </w:r>
      <w:r w:rsidRPr="000C1B76">
        <w:t xml:space="preserve"> </w:t>
      </w:r>
      <w:r>
        <w:t>Th</w:t>
      </w:r>
      <w:r w:rsidRPr="000C1B76">
        <w:t xml:space="preserve">is </w:t>
      </w:r>
      <w:r w:rsidR="00AE32FC" w:rsidRPr="001B5995">
        <w:t>may</w:t>
      </w:r>
      <w:r w:rsidRPr="000C1B76">
        <w:t xml:space="preserve"> include</w:t>
      </w:r>
      <w:r>
        <w:t>, for example</w:t>
      </w:r>
      <w:r w:rsidRPr="000C1B76">
        <w:t>;</w:t>
      </w:r>
    </w:p>
    <w:p w14:paraId="770C01C4" w14:textId="77777777" w:rsidR="003E414C" w:rsidRPr="000C1B76" w:rsidRDefault="003E414C" w:rsidP="00615032">
      <w:pPr>
        <w:numPr>
          <w:ilvl w:val="1"/>
          <w:numId w:val="3"/>
        </w:numPr>
        <w:tabs>
          <w:tab w:val="left" w:pos="821"/>
        </w:tabs>
        <w:ind w:left="1276" w:right="209" w:hanging="567"/>
      </w:pPr>
      <w:r w:rsidRPr="000C1B76">
        <w:t xml:space="preserve">the right to access books of accounts or records kept in respect of that business, otherwise than for the purpose of determining whether or not the conditions of </w:t>
      </w:r>
      <w:r>
        <w:t>a</w:t>
      </w:r>
      <w:r w:rsidRPr="000C1B76">
        <w:t xml:space="preserve"> relevant document are being complied with;</w:t>
      </w:r>
      <w:r w:rsidRPr="000C1B76">
        <w:rPr>
          <w:spacing w:val="5"/>
        </w:rPr>
        <w:t xml:space="preserve"> </w:t>
      </w:r>
      <w:r w:rsidRPr="000C1B76">
        <w:t>or</w:t>
      </w:r>
    </w:p>
    <w:p w14:paraId="22ACBFB4" w14:textId="77777777" w:rsidR="003E414C" w:rsidRPr="000C1B76" w:rsidRDefault="003E414C" w:rsidP="00615032">
      <w:pPr>
        <w:tabs>
          <w:tab w:val="left" w:pos="567"/>
          <w:tab w:val="left" w:pos="1701"/>
        </w:tabs>
        <w:spacing w:before="8"/>
        <w:ind w:left="1276" w:hanging="567"/>
        <w:rPr>
          <w:sz w:val="23"/>
        </w:rPr>
      </w:pPr>
    </w:p>
    <w:p w14:paraId="58432DD6" w14:textId="2875FC1D" w:rsidR="003E414C" w:rsidRPr="000C1B76" w:rsidRDefault="003E414C" w:rsidP="00615032">
      <w:pPr>
        <w:numPr>
          <w:ilvl w:val="1"/>
          <w:numId w:val="3"/>
        </w:numPr>
        <w:tabs>
          <w:tab w:val="left" w:pos="567"/>
          <w:tab w:val="left" w:pos="821"/>
          <w:tab w:val="left" w:pos="1701"/>
        </w:tabs>
        <w:spacing w:before="1"/>
        <w:ind w:left="1276" w:right="213" w:hanging="567"/>
      </w:pPr>
      <w:r w:rsidRPr="000C1B76">
        <w:t>the right to receive any consideration that varies according to the profits or takings of the</w:t>
      </w:r>
      <w:r w:rsidRPr="000C1B76">
        <w:rPr>
          <w:spacing w:val="-1"/>
        </w:rPr>
        <w:t xml:space="preserve"> </w:t>
      </w:r>
      <w:r w:rsidRPr="000C1B76">
        <w:t>business.</w:t>
      </w:r>
    </w:p>
    <w:p w14:paraId="24425598" w14:textId="77777777" w:rsidR="003E414C" w:rsidRPr="000C1B76" w:rsidRDefault="003E414C" w:rsidP="00615032">
      <w:pPr>
        <w:tabs>
          <w:tab w:val="left" w:pos="567"/>
          <w:tab w:val="left" w:pos="1701"/>
        </w:tabs>
        <w:ind w:left="140" w:right="209"/>
      </w:pPr>
    </w:p>
    <w:p w14:paraId="1FDA5C72" w14:textId="77777777" w:rsidR="003E414C" w:rsidRPr="000C1B76" w:rsidRDefault="003E414C" w:rsidP="00615032">
      <w:pPr>
        <w:tabs>
          <w:tab w:val="left" w:pos="567"/>
          <w:tab w:val="left" w:pos="821"/>
          <w:tab w:val="left" w:pos="1701"/>
        </w:tabs>
        <w:spacing w:before="1"/>
        <w:ind w:left="140" w:right="213"/>
      </w:pPr>
      <w:r w:rsidRPr="000C1B76">
        <w:t>Further, clause 11 of Schedule 7 of the Act makes it an offence for anyone to directly or indirectly attempt to coerce or otherwise cause a pharmacist to engage in conduct that contravenes the Act.</w:t>
      </w:r>
    </w:p>
    <w:p w14:paraId="2FB46976" w14:textId="77777777" w:rsidR="00C516A4" w:rsidRDefault="00C516A4" w:rsidP="00615032">
      <w:pPr>
        <w:pStyle w:val="BodyText"/>
        <w:spacing w:before="2"/>
        <w:ind w:left="140"/>
        <w:rPr>
          <w:sz w:val="23"/>
        </w:rPr>
      </w:pPr>
    </w:p>
    <w:p w14:paraId="373E907C" w14:textId="2B1D80EF" w:rsidR="00C516A4" w:rsidRDefault="003E414C" w:rsidP="00615032">
      <w:pPr>
        <w:pStyle w:val="BodyText"/>
        <w:ind w:left="140" w:right="161"/>
      </w:pPr>
      <w:r>
        <w:t>Accordingly</w:t>
      </w:r>
      <w:r w:rsidR="00821A7D">
        <w:t xml:space="preserve">, </w:t>
      </w:r>
      <w:r w:rsidR="00D25C20">
        <w:t>p</w:t>
      </w:r>
      <w:r w:rsidR="00821A7D">
        <w:t xml:space="preserve">harmacy business </w:t>
      </w:r>
      <w:r w:rsidR="00D25C20">
        <w:t>owners</w:t>
      </w:r>
      <w:r w:rsidR="00821A7D">
        <w:t xml:space="preserve"> should be wary of and avoid the following types of clauses in Service Agreements:</w:t>
      </w:r>
    </w:p>
    <w:p w14:paraId="200F3FA1" w14:textId="77777777" w:rsidR="00C516A4" w:rsidRDefault="00821A7D" w:rsidP="00615032">
      <w:pPr>
        <w:pStyle w:val="ListParagraph"/>
        <w:numPr>
          <w:ilvl w:val="0"/>
          <w:numId w:val="1"/>
        </w:numPr>
        <w:tabs>
          <w:tab w:val="left" w:pos="1560"/>
        </w:tabs>
        <w:spacing w:line="237" w:lineRule="auto"/>
        <w:ind w:left="1276" w:right="210" w:hanging="567"/>
        <w:jc w:val="left"/>
      </w:pPr>
      <w:r>
        <w:t>clauses that provide the service provider with unfettered (or unlimited) discretion to make decisions with respect to the</w:t>
      </w:r>
      <w:r>
        <w:rPr>
          <w:spacing w:val="-4"/>
        </w:rPr>
        <w:t xml:space="preserve"> </w:t>
      </w:r>
      <w:r>
        <w:t>business;</w:t>
      </w:r>
    </w:p>
    <w:p w14:paraId="0408D923" w14:textId="77777777" w:rsidR="00C516A4" w:rsidRDefault="00C516A4" w:rsidP="00615032">
      <w:pPr>
        <w:pStyle w:val="BodyText"/>
        <w:tabs>
          <w:tab w:val="left" w:pos="1560"/>
        </w:tabs>
        <w:spacing w:before="2"/>
        <w:ind w:left="1276" w:hanging="567"/>
      </w:pPr>
      <w:bookmarkStart w:id="0" w:name="_GoBack"/>
      <w:bookmarkEnd w:id="0"/>
    </w:p>
    <w:p w14:paraId="627EB86E" w14:textId="77777777" w:rsidR="00C516A4" w:rsidRDefault="00821A7D" w:rsidP="00615032">
      <w:pPr>
        <w:pStyle w:val="ListParagraph"/>
        <w:numPr>
          <w:ilvl w:val="0"/>
          <w:numId w:val="1"/>
        </w:numPr>
        <w:tabs>
          <w:tab w:val="left" w:pos="1560"/>
        </w:tabs>
        <w:ind w:left="1276" w:hanging="567"/>
        <w:jc w:val="left"/>
      </w:pPr>
      <w:r>
        <w:t xml:space="preserve">clauses that provide a service provider with a </w:t>
      </w:r>
      <w:r>
        <w:rPr>
          <w:b/>
        </w:rPr>
        <w:t xml:space="preserve">right </w:t>
      </w:r>
      <w:r>
        <w:t xml:space="preserve">of access to books of account or records kept in respect of the business (otherwise than for the purpose of determining whether the agreement is being complied with), as opposed to the licensee having the </w:t>
      </w:r>
      <w:r>
        <w:rPr>
          <w:b/>
        </w:rPr>
        <w:t xml:space="preserve">option </w:t>
      </w:r>
      <w:r>
        <w:t>to provide certain information to the service provider so that a specific requested service can be provided (for example, book keeping or management</w:t>
      </w:r>
      <w:r>
        <w:rPr>
          <w:spacing w:val="-2"/>
        </w:rPr>
        <w:t xml:space="preserve"> </w:t>
      </w:r>
      <w:r>
        <w:t>services).</w:t>
      </w:r>
    </w:p>
    <w:p w14:paraId="32762DF3" w14:textId="77777777" w:rsidR="00C516A4" w:rsidRDefault="00C516A4" w:rsidP="00615032">
      <w:pPr>
        <w:pStyle w:val="BodyText"/>
        <w:tabs>
          <w:tab w:val="left" w:pos="1560"/>
        </w:tabs>
        <w:ind w:left="1276" w:hanging="567"/>
      </w:pPr>
    </w:p>
    <w:p w14:paraId="7ACDA2E2" w14:textId="77777777" w:rsidR="00C516A4" w:rsidRDefault="00821A7D" w:rsidP="00615032">
      <w:pPr>
        <w:pStyle w:val="ListParagraph"/>
        <w:numPr>
          <w:ilvl w:val="0"/>
          <w:numId w:val="1"/>
        </w:numPr>
        <w:tabs>
          <w:tab w:val="left" w:pos="1560"/>
        </w:tabs>
        <w:spacing w:line="237" w:lineRule="auto"/>
        <w:ind w:left="1276" w:right="210" w:hanging="567"/>
        <w:jc w:val="left"/>
      </w:pPr>
      <w:r>
        <w:t>clauses that provide that any fee payable to the service provider will be increased if the profits of the business increase (even if the increase in profits is as a result of the services being provided).</w:t>
      </w:r>
    </w:p>
    <w:p w14:paraId="3DEEAF9D" w14:textId="54BC948C" w:rsidR="00C516A4" w:rsidRDefault="00275969" w:rsidP="00615032">
      <w:pPr>
        <w:pStyle w:val="BodyText"/>
        <w:spacing w:before="3"/>
        <w:ind w:left="140"/>
      </w:pPr>
      <w:r>
        <w:rPr>
          <w:noProof/>
        </w:rPr>
        <w:pict w14:anchorId="542619E7">
          <v:shapetype id="_x0000_t202" coordsize="21600,21600" o:spt="202" path="m,l,21600r21600,l21600,xe">
            <v:stroke joinstyle="miter"/>
            <v:path gradientshapeok="t" o:connecttype="rect"/>
          </v:shapetype>
          <v:shape id="Text Box 1" o:spid="_x0000_s1026" type="#_x0000_t202" style="position:absolute;left:0;text-align:left;margin-left:295.65pt;margin-top:809.1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" filled="f" stroked="f">
            <v:textbox style="mso-next-textbox:#Text Box 1" inset="0,0,0,0">
              <w:txbxContent>
                <w:p w14:paraId="1434D7EB" w14:textId="77777777" w:rsidR="00615032" w:rsidRDefault="00615032" w:rsidP="00615032">
                  <w:pPr>
                    <w:pStyle w:val="BodyText"/>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v:textbox>
            <w10:wrap anchorx="page" anchory="page"/>
          </v:shape>
        </w:pict>
      </w:r>
    </w:p>
    <w:sectPr w:rsidR="00C516A4" w:rsidSect="00615032">
      <w:headerReference w:type="default" r:id="rId8"/>
      <w:footerReference w:type="default" r:id="rId9"/>
      <w:type w:val="continuous"/>
      <w:pgSz w:w="11920" w:h="16850"/>
      <w:pgMar w:top="1440" w:right="1240" w:bottom="1843"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BE0F0" w14:textId="77777777" w:rsidR="00275969" w:rsidRDefault="00275969" w:rsidP="00615032">
      <w:r>
        <w:separator/>
      </w:r>
    </w:p>
  </w:endnote>
  <w:endnote w:type="continuationSeparator" w:id="0">
    <w:p w14:paraId="2BC0AD79" w14:textId="77777777" w:rsidR="00275969" w:rsidRDefault="00275969" w:rsidP="0061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79" w:type="dxa"/>
      <w:tblLook w:val="04A0" w:firstRow="1" w:lastRow="0" w:firstColumn="1" w:lastColumn="0" w:noHBand="0" w:noVBand="1"/>
    </w:tblPr>
    <w:tblGrid>
      <w:gridCol w:w="4342"/>
      <w:gridCol w:w="4621"/>
    </w:tblGrid>
    <w:tr w:rsidR="00615032" w14:paraId="11CA873B" w14:textId="77777777" w:rsidTr="00A85348">
      <w:trPr>
        <w:trHeight w:val="248"/>
      </w:trPr>
      <w:tc>
        <w:tcPr>
          <w:tcW w:w="8963" w:type="dxa"/>
          <w:gridSpan w:val="2"/>
        </w:tcPr>
        <w:p w14:paraId="2DAE4645" w14:textId="77777777" w:rsidR="00615032" w:rsidRDefault="00615032" w:rsidP="00615032">
          <w:pPr>
            <w:pStyle w:val="Footer"/>
          </w:pPr>
          <w:r w:rsidRPr="00D3605A">
            <w:rPr>
              <w:sz w:val="20"/>
              <w:szCs w:val="20"/>
            </w:rPr>
            <w:t>Endorsed By: Northern Territory Pharmacy Premises Committee</w:t>
          </w:r>
        </w:p>
      </w:tc>
    </w:tr>
    <w:tr w:rsidR="00615032" w:rsidRPr="00D3605A" w14:paraId="424C960F" w14:textId="77777777" w:rsidTr="00A85348">
      <w:trPr>
        <w:trHeight w:val="247"/>
      </w:trPr>
      <w:tc>
        <w:tcPr>
          <w:tcW w:w="4342" w:type="dxa"/>
        </w:tcPr>
        <w:p w14:paraId="21B2A4D2" w14:textId="10F54551" w:rsidR="00615032" w:rsidRPr="007872A3" w:rsidRDefault="00615032" w:rsidP="007872A3">
          <w:pPr>
            <w:pStyle w:val="Footer"/>
            <w:rPr>
              <w:sz w:val="20"/>
              <w:szCs w:val="20"/>
            </w:rPr>
          </w:pPr>
          <w:r w:rsidRPr="007872A3">
            <w:rPr>
              <w:sz w:val="20"/>
              <w:szCs w:val="20"/>
            </w:rPr>
            <w:t xml:space="preserve">Effective Date: </w:t>
          </w:r>
          <w:r w:rsidR="001B5995" w:rsidRPr="007872A3">
            <w:rPr>
              <w:sz w:val="20"/>
              <w:szCs w:val="20"/>
            </w:rPr>
            <w:t xml:space="preserve">1 November </w:t>
          </w:r>
          <w:r w:rsidR="00407E7E" w:rsidRPr="007872A3">
            <w:rPr>
              <w:sz w:val="20"/>
              <w:szCs w:val="20"/>
            </w:rPr>
            <w:t>2022</w:t>
          </w:r>
        </w:p>
      </w:tc>
      <w:tc>
        <w:tcPr>
          <w:tcW w:w="4621" w:type="dxa"/>
        </w:tcPr>
        <w:p w14:paraId="5D69E394" w14:textId="5860FE36" w:rsidR="00615032" w:rsidRPr="007872A3" w:rsidRDefault="00615032" w:rsidP="007872A3">
          <w:pPr>
            <w:pStyle w:val="Footer"/>
            <w:rPr>
              <w:sz w:val="20"/>
              <w:szCs w:val="20"/>
            </w:rPr>
          </w:pPr>
          <w:r w:rsidRPr="007872A3">
            <w:rPr>
              <w:sz w:val="20"/>
              <w:szCs w:val="20"/>
            </w:rPr>
            <w:t xml:space="preserve">Review Date: </w:t>
          </w:r>
          <w:r w:rsidR="001B5995" w:rsidRPr="007872A3">
            <w:rPr>
              <w:sz w:val="20"/>
              <w:szCs w:val="20"/>
            </w:rPr>
            <w:t xml:space="preserve">1 November </w:t>
          </w:r>
          <w:r w:rsidR="00407E7E" w:rsidRPr="007872A3">
            <w:rPr>
              <w:sz w:val="20"/>
              <w:szCs w:val="20"/>
            </w:rPr>
            <w:t>2025</w:t>
          </w:r>
        </w:p>
      </w:tc>
    </w:tr>
  </w:tbl>
  <w:p w14:paraId="5A007F3A" w14:textId="77777777" w:rsidR="00615032" w:rsidRDefault="00615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B88D9" w14:textId="77777777" w:rsidR="00275969" w:rsidRDefault="00275969" w:rsidP="00615032">
      <w:r>
        <w:separator/>
      </w:r>
    </w:p>
  </w:footnote>
  <w:footnote w:type="continuationSeparator" w:id="0">
    <w:p w14:paraId="354E44EC" w14:textId="77777777" w:rsidR="00275969" w:rsidRDefault="00275969" w:rsidP="00615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31120" w14:textId="323A46DD" w:rsidR="00726E54" w:rsidRPr="00726E54" w:rsidRDefault="00726E54" w:rsidP="00726E54">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02A59"/>
    <w:multiLevelType w:val="hybridMultilevel"/>
    <w:tmpl w:val="A9D2822A"/>
    <w:lvl w:ilvl="0" w:tplc="E3DE69BA">
      <w:numFmt w:val="bullet"/>
      <w:lvlText w:val=""/>
      <w:lvlJc w:val="left"/>
      <w:pPr>
        <w:ind w:left="820" w:hanging="361"/>
      </w:pPr>
      <w:rPr>
        <w:rFonts w:ascii="Symbol" w:eastAsia="Symbol" w:hAnsi="Symbol" w:cs="Symbol" w:hint="default"/>
        <w:w w:val="100"/>
        <w:sz w:val="22"/>
        <w:szCs w:val="22"/>
        <w:lang w:val="en-AU" w:eastAsia="en-AU" w:bidi="en-AU"/>
      </w:rPr>
    </w:lvl>
    <w:lvl w:ilvl="1" w:tplc="87A09CCC">
      <w:numFmt w:val="bullet"/>
      <w:lvlText w:val="•"/>
      <w:lvlJc w:val="left"/>
      <w:pPr>
        <w:ind w:left="1671" w:hanging="361"/>
      </w:pPr>
      <w:rPr>
        <w:rFonts w:hint="default"/>
        <w:lang w:val="en-AU" w:eastAsia="en-AU" w:bidi="en-AU"/>
      </w:rPr>
    </w:lvl>
    <w:lvl w:ilvl="2" w:tplc="DCDA1484">
      <w:numFmt w:val="bullet"/>
      <w:lvlText w:val="•"/>
      <w:lvlJc w:val="left"/>
      <w:pPr>
        <w:ind w:left="2522" w:hanging="361"/>
      </w:pPr>
      <w:rPr>
        <w:rFonts w:hint="default"/>
        <w:lang w:val="en-AU" w:eastAsia="en-AU" w:bidi="en-AU"/>
      </w:rPr>
    </w:lvl>
    <w:lvl w:ilvl="3" w:tplc="7DD86E4E">
      <w:numFmt w:val="bullet"/>
      <w:lvlText w:val="•"/>
      <w:lvlJc w:val="left"/>
      <w:pPr>
        <w:ind w:left="3373" w:hanging="361"/>
      </w:pPr>
      <w:rPr>
        <w:rFonts w:hint="default"/>
        <w:lang w:val="en-AU" w:eastAsia="en-AU" w:bidi="en-AU"/>
      </w:rPr>
    </w:lvl>
    <w:lvl w:ilvl="4" w:tplc="05749F26">
      <w:numFmt w:val="bullet"/>
      <w:lvlText w:val="•"/>
      <w:lvlJc w:val="left"/>
      <w:pPr>
        <w:ind w:left="4224" w:hanging="361"/>
      </w:pPr>
      <w:rPr>
        <w:rFonts w:hint="default"/>
        <w:lang w:val="en-AU" w:eastAsia="en-AU" w:bidi="en-AU"/>
      </w:rPr>
    </w:lvl>
    <w:lvl w:ilvl="5" w:tplc="05084120">
      <w:numFmt w:val="bullet"/>
      <w:lvlText w:val="•"/>
      <w:lvlJc w:val="left"/>
      <w:pPr>
        <w:ind w:left="5075" w:hanging="361"/>
      </w:pPr>
      <w:rPr>
        <w:rFonts w:hint="default"/>
        <w:lang w:val="en-AU" w:eastAsia="en-AU" w:bidi="en-AU"/>
      </w:rPr>
    </w:lvl>
    <w:lvl w:ilvl="6" w:tplc="C20E4A8E">
      <w:numFmt w:val="bullet"/>
      <w:lvlText w:val="•"/>
      <w:lvlJc w:val="left"/>
      <w:pPr>
        <w:ind w:left="5926" w:hanging="361"/>
      </w:pPr>
      <w:rPr>
        <w:rFonts w:hint="default"/>
        <w:lang w:val="en-AU" w:eastAsia="en-AU" w:bidi="en-AU"/>
      </w:rPr>
    </w:lvl>
    <w:lvl w:ilvl="7" w:tplc="96AA8D56">
      <w:numFmt w:val="bullet"/>
      <w:lvlText w:val="•"/>
      <w:lvlJc w:val="left"/>
      <w:pPr>
        <w:ind w:left="6777" w:hanging="361"/>
      </w:pPr>
      <w:rPr>
        <w:rFonts w:hint="default"/>
        <w:lang w:val="en-AU" w:eastAsia="en-AU" w:bidi="en-AU"/>
      </w:rPr>
    </w:lvl>
    <w:lvl w:ilvl="8" w:tplc="BCAA587A">
      <w:numFmt w:val="bullet"/>
      <w:lvlText w:val="•"/>
      <w:lvlJc w:val="left"/>
      <w:pPr>
        <w:ind w:left="7628" w:hanging="361"/>
      </w:pPr>
      <w:rPr>
        <w:rFonts w:hint="default"/>
        <w:lang w:val="en-AU" w:eastAsia="en-AU" w:bidi="en-AU"/>
      </w:rPr>
    </w:lvl>
  </w:abstractNum>
  <w:abstractNum w:abstractNumId="1" w15:restartNumberingAfterBreak="0">
    <w:nsid w:val="5FFF0AB5"/>
    <w:multiLevelType w:val="hybridMultilevel"/>
    <w:tmpl w:val="F1F4C186"/>
    <w:lvl w:ilvl="0" w:tplc="C8D2BF6E">
      <w:start w:val="1"/>
      <w:numFmt w:val="lowerLetter"/>
      <w:lvlText w:val="%1)"/>
      <w:lvlJc w:val="left"/>
      <w:pPr>
        <w:ind w:left="820" w:hanging="360"/>
      </w:pPr>
      <w:rPr>
        <w:rFonts w:ascii="Arial" w:eastAsia="Arial" w:hAnsi="Arial" w:cs="Arial" w:hint="default"/>
        <w:spacing w:val="-1"/>
        <w:w w:val="100"/>
        <w:sz w:val="22"/>
        <w:szCs w:val="22"/>
        <w:lang w:val="en-AU" w:eastAsia="en-AU" w:bidi="en-AU"/>
      </w:rPr>
    </w:lvl>
    <w:lvl w:ilvl="1" w:tplc="6E367B5C">
      <w:numFmt w:val="bullet"/>
      <w:lvlText w:val="•"/>
      <w:lvlJc w:val="left"/>
      <w:pPr>
        <w:ind w:left="1671" w:hanging="360"/>
      </w:pPr>
      <w:rPr>
        <w:rFonts w:hint="default"/>
        <w:lang w:val="en-AU" w:eastAsia="en-AU" w:bidi="en-AU"/>
      </w:rPr>
    </w:lvl>
    <w:lvl w:ilvl="2" w:tplc="109C9FBE">
      <w:numFmt w:val="bullet"/>
      <w:lvlText w:val="•"/>
      <w:lvlJc w:val="left"/>
      <w:pPr>
        <w:ind w:left="2522" w:hanging="360"/>
      </w:pPr>
      <w:rPr>
        <w:rFonts w:hint="default"/>
        <w:lang w:val="en-AU" w:eastAsia="en-AU" w:bidi="en-AU"/>
      </w:rPr>
    </w:lvl>
    <w:lvl w:ilvl="3" w:tplc="E220A2C6">
      <w:numFmt w:val="bullet"/>
      <w:lvlText w:val="•"/>
      <w:lvlJc w:val="left"/>
      <w:pPr>
        <w:ind w:left="3373" w:hanging="360"/>
      </w:pPr>
      <w:rPr>
        <w:rFonts w:hint="default"/>
        <w:lang w:val="en-AU" w:eastAsia="en-AU" w:bidi="en-AU"/>
      </w:rPr>
    </w:lvl>
    <w:lvl w:ilvl="4" w:tplc="2BBAFB40">
      <w:numFmt w:val="bullet"/>
      <w:lvlText w:val="•"/>
      <w:lvlJc w:val="left"/>
      <w:pPr>
        <w:ind w:left="4224" w:hanging="360"/>
      </w:pPr>
      <w:rPr>
        <w:rFonts w:hint="default"/>
        <w:lang w:val="en-AU" w:eastAsia="en-AU" w:bidi="en-AU"/>
      </w:rPr>
    </w:lvl>
    <w:lvl w:ilvl="5" w:tplc="937C6790">
      <w:numFmt w:val="bullet"/>
      <w:lvlText w:val="•"/>
      <w:lvlJc w:val="left"/>
      <w:pPr>
        <w:ind w:left="5075" w:hanging="360"/>
      </w:pPr>
      <w:rPr>
        <w:rFonts w:hint="default"/>
        <w:lang w:val="en-AU" w:eastAsia="en-AU" w:bidi="en-AU"/>
      </w:rPr>
    </w:lvl>
    <w:lvl w:ilvl="6" w:tplc="97C4E4EE">
      <w:numFmt w:val="bullet"/>
      <w:lvlText w:val="•"/>
      <w:lvlJc w:val="left"/>
      <w:pPr>
        <w:ind w:left="5926" w:hanging="360"/>
      </w:pPr>
      <w:rPr>
        <w:rFonts w:hint="default"/>
        <w:lang w:val="en-AU" w:eastAsia="en-AU" w:bidi="en-AU"/>
      </w:rPr>
    </w:lvl>
    <w:lvl w:ilvl="7" w:tplc="3F5CFC06">
      <w:numFmt w:val="bullet"/>
      <w:lvlText w:val="•"/>
      <w:lvlJc w:val="left"/>
      <w:pPr>
        <w:ind w:left="6777" w:hanging="360"/>
      </w:pPr>
      <w:rPr>
        <w:rFonts w:hint="default"/>
        <w:lang w:val="en-AU" w:eastAsia="en-AU" w:bidi="en-AU"/>
      </w:rPr>
    </w:lvl>
    <w:lvl w:ilvl="8" w:tplc="FF1EA588">
      <w:numFmt w:val="bullet"/>
      <w:lvlText w:val="•"/>
      <w:lvlJc w:val="left"/>
      <w:pPr>
        <w:ind w:left="7628" w:hanging="360"/>
      </w:pPr>
      <w:rPr>
        <w:rFonts w:hint="default"/>
        <w:lang w:val="en-AU" w:eastAsia="en-AU" w:bidi="en-AU"/>
      </w:rPr>
    </w:lvl>
  </w:abstractNum>
  <w:abstractNum w:abstractNumId="2" w15:restartNumberingAfterBreak="0">
    <w:nsid w:val="77607D7A"/>
    <w:multiLevelType w:val="multilevel"/>
    <w:tmpl w:val="3D5EBBA2"/>
    <w:lvl w:ilvl="0">
      <w:start w:val="1"/>
      <w:numFmt w:val="decimal"/>
      <w:lvlText w:val="%1)"/>
      <w:lvlJc w:val="left"/>
      <w:pPr>
        <w:ind w:left="360" w:hanging="360"/>
      </w:pPr>
    </w:lvl>
    <w:lvl w:ilvl="1">
      <w:start w:val="1"/>
      <w:numFmt w:val="lowerLetter"/>
      <w:lvlText w:val="(%2)"/>
      <w:lvlJc w:val="left"/>
      <w:pPr>
        <w:ind w:left="720" w:hanging="360"/>
      </w:pPr>
      <w:rPr>
        <w:rFonts w:ascii="Arial" w:eastAsia="Arial" w:hAnsi="Arial" w:cs="Arial" w:hint="default"/>
        <w:spacing w:val="-2"/>
        <w:w w:val="99"/>
        <w:sz w:val="22"/>
        <w:szCs w:val="22"/>
        <w:lang w:val="en-AU" w:eastAsia="en-AU" w:bidi="en-AU"/>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C516A4"/>
    <w:rsid w:val="00194ADC"/>
    <w:rsid w:val="001B5995"/>
    <w:rsid w:val="00275969"/>
    <w:rsid w:val="002C3AFA"/>
    <w:rsid w:val="002F4FB2"/>
    <w:rsid w:val="003E414C"/>
    <w:rsid w:val="00407E7E"/>
    <w:rsid w:val="00410983"/>
    <w:rsid w:val="00615032"/>
    <w:rsid w:val="00650C2D"/>
    <w:rsid w:val="006D082B"/>
    <w:rsid w:val="00726E54"/>
    <w:rsid w:val="007872A3"/>
    <w:rsid w:val="007C55D9"/>
    <w:rsid w:val="00821A7D"/>
    <w:rsid w:val="008E149C"/>
    <w:rsid w:val="00AE0171"/>
    <w:rsid w:val="00AE32FC"/>
    <w:rsid w:val="00B00555"/>
    <w:rsid w:val="00B0500C"/>
    <w:rsid w:val="00C50634"/>
    <w:rsid w:val="00C516A4"/>
    <w:rsid w:val="00D25C20"/>
    <w:rsid w:val="00D43EEE"/>
    <w:rsid w:val="00EF547F"/>
    <w:rsid w:val="00F45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FC2E1"/>
  <w15:docId w15:val="{734DB02D-E0DC-4C3D-8F6B-6F7C6616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right="209"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C3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AFA"/>
    <w:rPr>
      <w:rFonts w:ascii="Segoe UI" w:eastAsia="Arial" w:hAnsi="Segoe UI" w:cs="Segoe UI"/>
      <w:sz w:val="18"/>
      <w:szCs w:val="18"/>
      <w:lang w:val="en-AU" w:eastAsia="en-AU" w:bidi="en-AU"/>
    </w:rPr>
  </w:style>
  <w:style w:type="paragraph" w:customStyle="1" w:styleId="Default">
    <w:name w:val="Default"/>
    <w:rsid w:val="00615032"/>
    <w:pPr>
      <w:widowControl/>
      <w:adjustRightInd w:val="0"/>
    </w:pPr>
    <w:rPr>
      <w:rFonts w:ascii="Calibri" w:hAnsi="Calibri" w:cs="Calibri"/>
      <w:color w:val="000000"/>
      <w:sz w:val="24"/>
      <w:szCs w:val="24"/>
      <w:lang w:val="en-AU"/>
    </w:rPr>
  </w:style>
  <w:style w:type="table" w:styleId="TableGrid">
    <w:name w:val="Table Grid"/>
    <w:basedOn w:val="TableNormal"/>
    <w:uiPriority w:val="59"/>
    <w:rsid w:val="00615032"/>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15032"/>
    <w:rPr>
      <w:rFonts w:ascii="Arial" w:eastAsia="Arial" w:hAnsi="Arial" w:cs="Arial"/>
      <w:lang w:val="en-AU" w:eastAsia="en-AU" w:bidi="en-AU"/>
    </w:rPr>
  </w:style>
  <w:style w:type="paragraph" w:styleId="Header">
    <w:name w:val="header"/>
    <w:basedOn w:val="Normal"/>
    <w:link w:val="HeaderChar"/>
    <w:uiPriority w:val="99"/>
    <w:unhideWhenUsed/>
    <w:rsid w:val="00615032"/>
    <w:pPr>
      <w:tabs>
        <w:tab w:val="center" w:pos="4513"/>
        <w:tab w:val="right" w:pos="9026"/>
      </w:tabs>
    </w:pPr>
  </w:style>
  <w:style w:type="character" w:customStyle="1" w:styleId="HeaderChar">
    <w:name w:val="Header Char"/>
    <w:basedOn w:val="DefaultParagraphFont"/>
    <w:link w:val="Header"/>
    <w:uiPriority w:val="99"/>
    <w:rsid w:val="00615032"/>
    <w:rPr>
      <w:rFonts w:ascii="Arial" w:eastAsia="Arial" w:hAnsi="Arial" w:cs="Arial"/>
      <w:lang w:val="en-AU" w:eastAsia="en-AU" w:bidi="en-AU"/>
    </w:rPr>
  </w:style>
  <w:style w:type="paragraph" w:styleId="Footer">
    <w:name w:val="footer"/>
    <w:basedOn w:val="Normal"/>
    <w:link w:val="FooterChar"/>
    <w:uiPriority w:val="99"/>
    <w:unhideWhenUsed/>
    <w:rsid w:val="00615032"/>
    <w:pPr>
      <w:tabs>
        <w:tab w:val="center" w:pos="4513"/>
        <w:tab w:val="right" w:pos="9026"/>
      </w:tabs>
    </w:pPr>
  </w:style>
  <w:style w:type="character" w:customStyle="1" w:styleId="FooterChar">
    <w:name w:val="Footer Char"/>
    <w:basedOn w:val="DefaultParagraphFont"/>
    <w:link w:val="Footer"/>
    <w:uiPriority w:val="99"/>
    <w:rsid w:val="00615032"/>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FE172-2D98-4613-9971-DC3CEFBC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Territory Government</dc:creator>
  <cp:lastModifiedBy>Peter Kern</cp:lastModifiedBy>
  <cp:revision>10</cp:revision>
  <dcterms:created xsi:type="dcterms:W3CDTF">2019-05-01T08:43:00Z</dcterms:created>
  <dcterms:modified xsi:type="dcterms:W3CDTF">2022-12-09T03:09:00Z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Acrobat PDFMaker 19 for Word</vt:lpwstr>
  </property>
  <property fmtid="{D5CDD505-2E9C-101B-9397-08002B2CF9AE}" pid="4" name="LastSaved">
    <vt:filetime>2019-04-18T00:00:00Z</vt:filetime>
  </property>
</Properties>
</file>