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0F63E0" w14:paraId="7059618D" w14:textId="77777777" w:rsidTr="005A322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464C189F" w14:textId="77777777" w:rsidR="000F63E0" w:rsidRDefault="000F63E0" w:rsidP="005A3224">
            <w:pPr>
              <w:jc w:val="center"/>
            </w:pPr>
            <w:r>
              <w:rPr>
                <w:w w:val="105"/>
              </w:rPr>
              <w:t>Document Metadata</w:t>
            </w:r>
          </w:p>
        </w:tc>
      </w:tr>
      <w:tr w:rsidR="000F63E0" w14:paraId="23219CA9"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30005D9A" w14:textId="77777777" w:rsidR="000F63E0" w:rsidRPr="00E179BF" w:rsidRDefault="000F63E0" w:rsidP="005A3224">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1913AEB2" w14:textId="77777777" w:rsidR="000F63E0" w:rsidRPr="00D8493C" w:rsidRDefault="000F63E0" w:rsidP="005A3224">
            <w:r w:rsidRPr="00D8493C">
              <w:t xml:space="preserve">All </w:t>
            </w:r>
            <w:r>
              <w:t xml:space="preserve">Clinical </w:t>
            </w:r>
            <w:r w:rsidRPr="00D8493C">
              <w:t>Employees</w:t>
            </w:r>
          </w:p>
        </w:tc>
      </w:tr>
      <w:tr w:rsidR="000F63E0" w14:paraId="58EF2131"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B83C97F" w14:textId="77777777" w:rsidR="000F63E0" w:rsidRPr="00E179BF" w:rsidRDefault="000F63E0" w:rsidP="005A3224">
            <w:pPr>
              <w:rPr>
                <w:b/>
              </w:rPr>
            </w:pPr>
            <w:r w:rsidRPr="00E179BF">
              <w:rPr>
                <w:b/>
              </w:rPr>
              <w:t xml:space="preserve">Jurisdiction </w:t>
            </w:r>
          </w:p>
          <w:p w14:paraId="69D5FFA0" w14:textId="77777777" w:rsidR="000F63E0" w:rsidRPr="00E179BF" w:rsidRDefault="000F63E0" w:rsidP="005A3224">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1BC8BF1" w14:textId="77777777" w:rsidR="000F63E0" w:rsidRPr="00D8493C" w:rsidRDefault="000F63E0" w:rsidP="005A3224">
            <w:r>
              <w:t xml:space="preserve">NT Health </w:t>
            </w:r>
          </w:p>
          <w:p w14:paraId="49518F31" w14:textId="77777777" w:rsidR="000F63E0" w:rsidRPr="00D8493C" w:rsidRDefault="000F63E0" w:rsidP="005A3224">
            <w:r>
              <w:t>N/A</w:t>
            </w:r>
          </w:p>
        </w:tc>
      </w:tr>
      <w:tr w:rsidR="000F63E0" w14:paraId="08E881C5"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68D93F32" w14:textId="77777777" w:rsidR="000F63E0" w:rsidRPr="00E179BF" w:rsidRDefault="000F63E0" w:rsidP="005A3224">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72295DB0" w14:textId="77777777" w:rsidR="000F63E0" w:rsidRDefault="000F63E0" w:rsidP="009158F8">
            <w:pPr>
              <w:tabs>
                <w:tab w:val="left" w:pos="10206"/>
              </w:tabs>
              <w:autoSpaceDE w:val="0"/>
              <w:autoSpaceDN w:val="0"/>
              <w:adjustRightInd w:val="0"/>
              <w:spacing w:after="80"/>
              <w:rPr>
                <w:color w:val="000000"/>
                <w:lang w:eastAsia="en-AU"/>
              </w:rPr>
            </w:pPr>
            <w:r>
              <w:rPr>
                <w:color w:val="000000"/>
                <w:lang w:eastAsia="en-AU"/>
              </w:rPr>
              <w:t>Kim Clayworth</w:t>
            </w:r>
          </w:p>
          <w:p w14:paraId="32EEA97A" w14:textId="33C3E763" w:rsidR="000933F9" w:rsidRPr="009158F8" w:rsidRDefault="000933F9" w:rsidP="009158F8">
            <w:pPr>
              <w:tabs>
                <w:tab w:val="left" w:pos="10206"/>
              </w:tabs>
              <w:autoSpaceDE w:val="0"/>
              <w:autoSpaceDN w:val="0"/>
              <w:adjustRightInd w:val="0"/>
              <w:spacing w:after="80"/>
              <w:rPr>
                <w:color w:val="000000"/>
                <w:lang w:eastAsia="en-AU"/>
              </w:rPr>
            </w:pPr>
            <w:r>
              <w:rPr>
                <w:color w:val="000000"/>
                <w:lang w:eastAsia="en-AU"/>
              </w:rPr>
              <w:t>Senior Manager, Community Allied Health &amp; Aged Care, TEHS</w:t>
            </w:r>
          </w:p>
        </w:tc>
      </w:tr>
      <w:tr w:rsidR="000F63E0" w14:paraId="3ED08021"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AC70AE0" w14:textId="77777777" w:rsidR="000F63E0" w:rsidRPr="00E179BF" w:rsidRDefault="000F63E0" w:rsidP="005A3224">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39820F8" w14:textId="77777777" w:rsidR="000933F9" w:rsidRDefault="000933F9" w:rsidP="000933F9">
            <w:pPr>
              <w:tabs>
                <w:tab w:val="left" w:pos="10206"/>
              </w:tabs>
              <w:rPr>
                <w:lang w:eastAsia="en-AU"/>
              </w:rPr>
            </w:pPr>
            <w:r>
              <w:rPr>
                <w:lang w:eastAsia="en-AU"/>
              </w:rPr>
              <w:t>David Braines-Mead</w:t>
            </w:r>
          </w:p>
          <w:p w14:paraId="49FE60B3" w14:textId="3E35AC53" w:rsidR="000F63E0" w:rsidRPr="008F3267" w:rsidRDefault="000933F9" w:rsidP="000933F9">
            <w:pPr>
              <w:tabs>
                <w:tab w:val="left" w:pos="10206"/>
              </w:tabs>
              <w:rPr>
                <w:lang w:eastAsia="en-AU"/>
              </w:rPr>
            </w:pPr>
            <w:r>
              <w:rPr>
                <w:lang w:eastAsia="en-AU"/>
              </w:rPr>
              <w:t>Acting Chief Executive Officer</w:t>
            </w:r>
          </w:p>
        </w:tc>
      </w:tr>
      <w:tr w:rsidR="000F63E0" w14:paraId="509A2977"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FD0484E" w14:textId="77777777" w:rsidR="000F63E0" w:rsidRPr="00E179BF" w:rsidRDefault="000F63E0" w:rsidP="005A3224">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5472BBC4" w14:textId="77777777" w:rsidR="000F63E0" w:rsidRPr="00D8493C" w:rsidRDefault="000F63E0" w:rsidP="005A3224">
            <w:pPr>
              <w:tabs>
                <w:tab w:val="left" w:pos="10206"/>
              </w:tabs>
              <w:rPr>
                <w:lang w:eastAsia="en-AU"/>
              </w:rPr>
            </w:pPr>
            <w:r>
              <w:rPr>
                <w:lang w:eastAsia="en-AU"/>
              </w:rPr>
              <w:t xml:space="preserve">TEP Advisory Committee </w:t>
            </w:r>
          </w:p>
        </w:tc>
      </w:tr>
      <w:tr w:rsidR="000F63E0" w14:paraId="1C338FAC"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45359D36" w14:textId="3CC46DDD" w:rsidR="000F63E0" w:rsidRDefault="000F63E0" w:rsidP="005A3224">
            <w:r w:rsidRPr="00E179BF">
              <w:rPr>
                <w:b/>
              </w:rPr>
              <w:t>PGC/SharePoint ID: HEALTHINTRA-</w:t>
            </w:r>
            <w:r w:rsidR="001F3CC9">
              <w:rPr>
                <w:b/>
              </w:rPr>
              <w:t>1880-8505</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60440758" w14:textId="10550393" w:rsidR="000F63E0" w:rsidRDefault="000F63E0" w:rsidP="00096B1A">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096B1A">
              <w:rPr>
                <w:color w:val="000000"/>
                <w:lang w:eastAsia="en-AU"/>
              </w:rPr>
              <w:t>2018/44725</w:t>
            </w:r>
          </w:p>
          <w:p w14:paraId="34DCF86F" w14:textId="1DABBB7A" w:rsidR="000106AB" w:rsidRPr="00D8493C" w:rsidRDefault="000106AB" w:rsidP="00096B1A">
            <w:pPr>
              <w:tabs>
                <w:tab w:val="left" w:pos="10206"/>
              </w:tabs>
              <w:rPr>
                <w:color w:val="000000"/>
                <w:lang w:eastAsia="en-AU"/>
              </w:rPr>
            </w:pPr>
          </w:p>
        </w:tc>
      </w:tr>
      <w:tr w:rsidR="000F63E0" w14:paraId="423885C3"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011B68B2" w14:textId="77777777" w:rsidR="000F63E0" w:rsidRDefault="000F63E0" w:rsidP="005A3224">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490527412"/>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Pr>
                    <w:iCs/>
                    <w:color w:val="999999"/>
                    <w:sz w:val="16"/>
                  </w:rPr>
                  <w:t>Version: 6.0</w:t>
                </w:r>
              </w:sdtContent>
            </w:sdt>
            <w:r>
              <w:rPr>
                <w:iCs/>
                <w:color w:val="999999"/>
                <w:sz w:val="16"/>
              </w:rPr>
              <w:t xml:space="preserve"> | </w:t>
            </w:r>
          </w:p>
          <w:p w14:paraId="138C126A" w14:textId="4BA93E01" w:rsidR="000F63E0" w:rsidRPr="00E179BF" w:rsidRDefault="000F63E0" w:rsidP="005A3224">
            <w:pPr>
              <w:tabs>
                <w:tab w:val="left" w:pos="10206"/>
              </w:tabs>
              <w:rPr>
                <w:b/>
                <w:color w:val="000000"/>
                <w:sz w:val="18"/>
                <w:szCs w:val="18"/>
                <w:lang w:eastAsia="en-AU"/>
              </w:rPr>
            </w:pP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7FAB2441" w14:textId="605D4139" w:rsidR="000F63E0" w:rsidRPr="00D8493C" w:rsidRDefault="000F63E0" w:rsidP="009158F8">
            <w:pPr>
              <w:tabs>
                <w:tab w:val="left" w:pos="10206"/>
              </w:tabs>
              <w:rPr>
                <w:color w:val="000000"/>
                <w:lang w:eastAsia="en-AU"/>
              </w:rPr>
            </w:pPr>
            <w:r w:rsidRPr="00D8493C">
              <w:rPr>
                <w:color w:val="000000"/>
                <w:lang w:eastAsia="en-AU"/>
              </w:rPr>
              <w:t>Approved Date:</w:t>
            </w:r>
            <w:r>
              <w:rPr>
                <w:color w:val="000000"/>
                <w:lang w:eastAsia="en-AU"/>
              </w:rPr>
              <w:t xml:space="preserve"> </w:t>
            </w:r>
            <w:r w:rsidR="009158F8">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39ABC59" w14:textId="309BE47E" w:rsidR="000F63E0" w:rsidRPr="00D8493C" w:rsidRDefault="000F63E0" w:rsidP="009158F8">
            <w:pPr>
              <w:tabs>
                <w:tab w:val="left" w:pos="10206"/>
              </w:tabs>
              <w:rPr>
                <w:color w:val="000000"/>
                <w:lang w:eastAsia="en-AU"/>
              </w:rPr>
            </w:pPr>
            <w:r w:rsidRPr="00D8493C">
              <w:rPr>
                <w:color w:val="000000"/>
                <w:lang w:eastAsia="en-AU"/>
              </w:rPr>
              <w:t>Review Date:</w:t>
            </w:r>
            <w:r>
              <w:rPr>
                <w:color w:val="000000"/>
                <w:lang w:eastAsia="en-AU"/>
              </w:rPr>
              <w:t xml:space="preserve"> </w:t>
            </w:r>
            <w:r w:rsidR="009158F8">
              <w:rPr>
                <w:color w:val="000000"/>
                <w:lang w:eastAsia="en-AU"/>
              </w:rPr>
              <w:t>01/02/2024</w:t>
            </w:r>
          </w:p>
        </w:tc>
      </w:tr>
      <w:tr w:rsidR="000F63E0" w14:paraId="2BE3796D"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0D70651B" w14:textId="77777777" w:rsidR="000F63E0" w:rsidRPr="009736C1" w:rsidRDefault="000F63E0" w:rsidP="005A3224">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50EB287D" w:rsidR="00FE64D0" w:rsidRPr="00FE64D0" w:rsidRDefault="00E21882" w:rsidP="00E21882">
      <w:r w:rsidRPr="004A7064">
        <w:t xml:space="preserve">To ensure consistent and equitable client contribution arrangements for </w:t>
      </w:r>
      <w:r w:rsidR="009158F8">
        <w:t xml:space="preserve">items of assistive technology </w:t>
      </w:r>
      <w:r w:rsidRPr="004A7064">
        <w:t xml:space="preserve">issued through the </w:t>
      </w:r>
      <w:r>
        <w:t>Territory</w:t>
      </w:r>
      <w:r w:rsidRPr="004A7064">
        <w:t xml:space="preserve"> Equipment Program</w:t>
      </w:r>
      <w:r>
        <w:t xml:space="preserve"> (TEP)</w:t>
      </w:r>
      <w:r w:rsidRPr="004A7064">
        <w:t>.</w:t>
      </w:r>
    </w:p>
    <w:p w14:paraId="47D018F7" w14:textId="77777777" w:rsidR="00FE64D0" w:rsidRDefault="00FE64D0" w:rsidP="003C4941">
      <w:pPr>
        <w:pStyle w:val="Heading1"/>
        <w:rPr>
          <w:noProof/>
          <w:lang w:eastAsia="en-AU"/>
        </w:rPr>
      </w:pPr>
      <w:r>
        <w:t>Policy Purpose</w:t>
      </w:r>
      <w:bookmarkStart w:id="0" w:name="_GoBack"/>
      <w:bookmarkEnd w:id="0"/>
    </w:p>
    <w:p w14:paraId="41F40A42" w14:textId="0E082C9F" w:rsidR="00E73ED7" w:rsidRPr="004A7064" w:rsidRDefault="009158F8" w:rsidP="00E73ED7">
      <w:pPr>
        <w:tabs>
          <w:tab w:val="right" w:pos="9240"/>
        </w:tabs>
      </w:pPr>
      <w:r>
        <w:t xml:space="preserve">The </w:t>
      </w:r>
      <w:r w:rsidR="00E73ED7">
        <w:t>TEP</w:t>
      </w:r>
      <w:r w:rsidR="00E73ED7" w:rsidRPr="004A7064">
        <w:t xml:space="preserve"> aims to provide prescribed </w:t>
      </w:r>
      <w:r>
        <w:t xml:space="preserve">items of assistive technology </w:t>
      </w:r>
      <w:r w:rsidR="00E73ED7" w:rsidRPr="004A7064">
        <w:t xml:space="preserve">to assist eligible residents of the Northern Territory with a permanent or long-term </w:t>
      </w:r>
      <w:r w:rsidR="00E73ED7">
        <w:t>functional impairment</w:t>
      </w:r>
      <w:r w:rsidR="00E73ED7" w:rsidRPr="004A7064">
        <w:t>, to enhance their safety and independence, and to assist them to live and participate in their community.</w:t>
      </w:r>
    </w:p>
    <w:p w14:paraId="4A3A4CB6" w14:textId="288B5E29" w:rsidR="00E73ED7" w:rsidRPr="004A7064" w:rsidRDefault="00E73ED7" w:rsidP="00E73ED7">
      <w:r w:rsidRPr="004A7064">
        <w:rPr>
          <w:rFonts w:cs="Arial"/>
        </w:rPr>
        <w:t xml:space="preserve">This policy has been developed to transition the former </w:t>
      </w:r>
      <w:r>
        <w:rPr>
          <w:rFonts w:cs="Arial"/>
        </w:rPr>
        <w:t xml:space="preserve">Disability Equipment Program (DEP) </w:t>
      </w:r>
      <w:r w:rsidRPr="004A7064">
        <w:rPr>
          <w:rFonts w:cs="Arial"/>
        </w:rPr>
        <w:t xml:space="preserve">to a </w:t>
      </w:r>
      <w:r w:rsidRPr="004A7064">
        <w:t xml:space="preserve">service model for the provision of </w:t>
      </w:r>
      <w:r w:rsidR="009158F8">
        <w:t xml:space="preserve">assistive technology </w:t>
      </w:r>
      <w:r w:rsidRPr="004A7064">
        <w:t xml:space="preserve">for people with a </w:t>
      </w:r>
      <w:r>
        <w:t>functional impairment</w:t>
      </w:r>
      <w:r w:rsidRPr="004A7064">
        <w:t>, within a contemporary service system model and within existing funding.</w:t>
      </w:r>
      <w:r>
        <w:t xml:space="preserve"> </w:t>
      </w:r>
    </w:p>
    <w:p w14:paraId="155A9A71" w14:textId="3E4C219C" w:rsidR="00FE64D0" w:rsidRDefault="00E73ED7" w:rsidP="00E73ED7">
      <w:r w:rsidRPr="004A7064">
        <w:t xml:space="preserve">This policy introduces the client contribution requirements for </w:t>
      </w:r>
      <w:r w:rsidR="009158F8">
        <w:t>assistive technology</w:t>
      </w:r>
      <w:r w:rsidRPr="004A7064">
        <w:t xml:space="preserve"> provision through the </w:t>
      </w:r>
      <w:r>
        <w:t>TEP</w:t>
      </w:r>
      <w:r w:rsidRPr="004A7064">
        <w:t>.</w:t>
      </w:r>
      <w:r w:rsidRPr="002311FC">
        <w:t xml:space="preserve"> </w:t>
      </w:r>
    </w:p>
    <w:p w14:paraId="4FE3AB4E" w14:textId="77777777" w:rsidR="00FE64D0" w:rsidRDefault="00FE64D0" w:rsidP="003C4941">
      <w:pPr>
        <w:pStyle w:val="Heading1"/>
      </w:pPr>
      <w:r>
        <w:t>Policy Details</w:t>
      </w:r>
    </w:p>
    <w:p w14:paraId="1DC69A66" w14:textId="77777777" w:rsidR="00E73ED7" w:rsidRPr="004A7064" w:rsidRDefault="00E73ED7" w:rsidP="00E73ED7">
      <w:pPr>
        <w:pStyle w:val="Heading2"/>
      </w:pPr>
      <w:r w:rsidRPr="004A7064">
        <w:t>Responsibilities</w:t>
      </w:r>
    </w:p>
    <w:p w14:paraId="671DF832" w14:textId="77777777" w:rsidR="00E73ED7" w:rsidRPr="004A7064" w:rsidRDefault="00E73ED7" w:rsidP="00E73ED7">
      <w:r w:rsidRPr="004A7064">
        <w:t xml:space="preserve">All staff have a responsibility to familiarise themselves with the </w:t>
      </w:r>
      <w:r>
        <w:t>TEP</w:t>
      </w:r>
      <w:r w:rsidRPr="004A7064">
        <w:t xml:space="preserve"> policies and procedures.</w:t>
      </w:r>
    </w:p>
    <w:p w14:paraId="03C77866" w14:textId="1DCA7285" w:rsidR="00E73ED7" w:rsidRPr="00A217CC" w:rsidRDefault="009158F8" w:rsidP="00E73ED7">
      <w:pPr>
        <w:pStyle w:val="Heading2"/>
      </w:pPr>
      <w:bookmarkStart w:id="1" w:name="_Toc271031912"/>
      <w:r>
        <w:lastRenderedPageBreak/>
        <w:t>Policy C</w:t>
      </w:r>
      <w:r w:rsidR="00E73ED7" w:rsidRPr="00A217CC">
        <w:t>ontent and Implementation</w:t>
      </w:r>
      <w:bookmarkEnd w:id="1"/>
      <w:r w:rsidR="00E73ED7" w:rsidRPr="00A217CC">
        <w:t xml:space="preserve"> </w:t>
      </w:r>
    </w:p>
    <w:p w14:paraId="1662998E" w14:textId="39DCFF70" w:rsidR="00E73ED7" w:rsidRPr="004A7064" w:rsidRDefault="00E73ED7" w:rsidP="00E73ED7">
      <w:r>
        <w:t>TEP</w:t>
      </w:r>
      <w:r w:rsidRPr="004A7064">
        <w:t xml:space="preserve"> only require client contributions </w:t>
      </w:r>
      <w:r>
        <w:t xml:space="preserve">for major home modifications and/or </w:t>
      </w:r>
      <w:r w:rsidRPr="004A7064">
        <w:t xml:space="preserve">when the cost of </w:t>
      </w:r>
      <w:r w:rsidR="00507FEE">
        <w:t xml:space="preserve">the item of assistive technology </w:t>
      </w:r>
      <w:r>
        <w:t xml:space="preserve">is beyond the specifications prescribed and is selected by client preference. </w:t>
      </w:r>
      <w:r w:rsidRPr="004A7064">
        <w:t xml:space="preserve"> Client contributions are not required for </w:t>
      </w:r>
      <w:r w:rsidRPr="004A7064">
        <w:rPr>
          <w:rFonts w:cs="Arial"/>
          <w:lang w:eastAsia="en-AU"/>
        </w:rPr>
        <w:t xml:space="preserve">stock items including bariatric </w:t>
      </w:r>
      <w:r w:rsidR="00507FEE">
        <w:rPr>
          <w:rFonts w:cs="Arial"/>
          <w:lang w:eastAsia="en-AU"/>
        </w:rPr>
        <w:t>items</w:t>
      </w:r>
      <w:r w:rsidR="009158F8" w:rsidRPr="004A7064">
        <w:rPr>
          <w:rFonts w:cs="Arial"/>
          <w:lang w:eastAsia="en-AU"/>
        </w:rPr>
        <w:t>, which</w:t>
      </w:r>
      <w:r w:rsidRPr="004A7064">
        <w:rPr>
          <w:rFonts w:cs="Arial"/>
          <w:lang w:eastAsia="en-AU"/>
        </w:rPr>
        <w:t xml:space="preserve"> may more expensive</w:t>
      </w:r>
      <w:r>
        <w:rPr>
          <w:rFonts w:cs="Arial"/>
          <w:lang w:eastAsia="en-AU"/>
        </w:rPr>
        <w:t xml:space="preserve">. </w:t>
      </w:r>
      <w:r w:rsidRPr="004A7064">
        <w:rPr>
          <w:rFonts w:cs="Arial"/>
          <w:lang w:eastAsia="en-AU"/>
        </w:rPr>
        <w:t>.</w:t>
      </w:r>
    </w:p>
    <w:p w14:paraId="5FA98E69" w14:textId="77777777" w:rsidR="00E73ED7" w:rsidRPr="004A7064" w:rsidRDefault="00E73ED7" w:rsidP="00E73ED7">
      <w:r w:rsidRPr="004A7064">
        <w:t>Clients or legal guardians acknowledge that a contribution may be required at the time of application.  Clients may approach and seek support from third party or fundraising sources such as the Variety Club or Rotary</w:t>
      </w:r>
      <w:r>
        <w:t xml:space="preserve"> or speak to their Approved Prescriber</w:t>
      </w:r>
      <w:r w:rsidRPr="004A7064">
        <w:t xml:space="preserve"> for further information about alternative resourcing options if required.</w:t>
      </w:r>
    </w:p>
    <w:p w14:paraId="06C94A55" w14:textId="388548F2" w:rsidR="00E73ED7" w:rsidRPr="004A7064" w:rsidRDefault="00E73ED7" w:rsidP="00E73ED7">
      <w:r w:rsidRPr="004A7064">
        <w:t xml:space="preserve">Clients required to contribute in excess of $2 000 can apply </w:t>
      </w:r>
      <w:r>
        <w:t xml:space="preserve">for Special Consideration </w:t>
      </w:r>
      <w:r w:rsidRPr="004A7064">
        <w:t>f</w:t>
      </w:r>
      <w:r w:rsidR="00121455">
        <w:t>or High Cost</w:t>
      </w:r>
      <w:r w:rsidRPr="004A7064">
        <w:t xml:space="preserve"> Items.  Refer to </w:t>
      </w:r>
      <w:r>
        <w:t>the TEP</w:t>
      </w:r>
      <w:r w:rsidRPr="004A7064">
        <w:t xml:space="preserve"> Financial Eligibility Policy.</w:t>
      </w:r>
    </w:p>
    <w:p w14:paraId="73355FD7" w14:textId="77777777" w:rsidR="00E73ED7" w:rsidRPr="00F073B0" w:rsidRDefault="00E73ED7" w:rsidP="00121455">
      <w:pPr>
        <w:pStyle w:val="Heading2"/>
        <w:keepLines w:val="0"/>
        <w:numPr>
          <w:ilvl w:val="0"/>
          <w:numId w:val="49"/>
        </w:numPr>
        <w:tabs>
          <w:tab w:val="clear" w:pos="1440"/>
          <w:tab w:val="num" w:pos="360"/>
        </w:tabs>
        <w:spacing w:after="60"/>
        <w:ind w:left="360"/>
        <w:rPr>
          <w:szCs w:val="22"/>
        </w:rPr>
      </w:pPr>
      <w:r w:rsidRPr="00F073B0">
        <w:rPr>
          <w:szCs w:val="22"/>
        </w:rPr>
        <w:t>Agreement Conditions</w:t>
      </w:r>
    </w:p>
    <w:p w14:paraId="61AAA773" w14:textId="77777777" w:rsidR="00E73ED7" w:rsidRPr="00F073B0" w:rsidRDefault="00E73ED7" w:rsidP="00121455">
      <w:r w:rsidRPr="00F073B0">
        <w:t>Client contribution conditions are outlined in the Client Contribution Agreement, signed by the client or legal guardian when a contribution is required.</w:t>
      </w:r>
    </w:p>
    <w:p w14:paraId="6AE6D9CA" w14:textId="6B1001E5" w:rsidR="00E73ED7" w:rsidRDefault="00E73ED7" w:rsidP="00121455">
      <w:pPr>
        <w:rPr>
          <w:rFonts w:cs="Arial"/>
        </w:rPr>
      </w:pPr>
      <w:r w:rsidRPr="00F073B0">
        <w:t>Clients acknowledge that</w:t>
      </w:r>
      <w:r w:rsidRPr="00F073B0">
        <w:rPr>
          <w:rFonts w:cs="Arial"/>
        </w:rPr>
        <w:t>:</w:t>
      </w:r>
    </w:p>
    <w:p w14:paraId="353E139E" w14:textId="5C18D79D" w:rsidR="00E73ED7" w:rsidRDefault="00E73ED7" w:rsidP="00121455">
      <w:pPr>
        <w:pStyle w:val="ListParagraph"/>
        <w:numPr>
          <w:ilvl w:val="0"/>
          <w:numId w:val="48"/>
        </w:numPr>
        <w:spacing w:after="0"/>
        <w:ind w:left="357" w:hanging="357"/>
        <w:rPr>
          <w:rFonts w:cs="Arial"/>
        </w:rPr>
      </w:pPr>
      <w:r w:rsidRPr="00121455">
        <w:rPr>
          <w:rFonts w:cs="Arial"/>
        </w:rPr>
        <w:t xml:space="preserve">they are required to make a contribution towards the cost of their </w:t>
      </w:r>
      <w:r w:rsidR="00121455">
        <w:rPr>
          <w:rFonts w:cs="Arial"/>
        </w:rPr>
        <w:t xml:space="preserve">item </w:t>
      </w:r>
      <w:r w:rsidRPr="00121455">
        <w:rPr>
          <w:rFonts w:cs="Arial"/>
        </w:rPr>
        <w:t>directly to the supplier;</w:t>
      </w:r>
    </w:p>
    <w:p w14:paraId="29836A58" w14:textId="2041C537" w:rsidR="00E73ED7" w:rsidRDefault="00121455" w:rsidP="00121455">
      <w:pPr>
        <w:pStyle w:val="ListParagraph"/>
        <w:numPr>
          <w:ilvl w:val="0"/>
          <w:numId w:val="48"/>
        </w:numPr>
        <w:spacing w:after="0"/>
        <w:ind w:left="357" w:hanging="357"/>
        <w:rPr>
          <w:rFonts w:cs="Arial"/>
        </w:rPr>
      </w:pPr>
      <w:r>
        <w:rPr>
          <w:rFonts w:cs="Arial"/>
        </w:rPr>
        <w:t xml:space="preserve">the item </w:t>
      </w:r>
      <w:r w:rsidR="00E73ED7" w:rsidRPr="00121455">
        <w:rPr>
          <w:rFonts w:cs="Arial"/>
        </w:rPr>
        <w:t>will not be delivered or installed until the total amount of the contribution has been paid in full;</w:t>
      </w:r>
    </w:p>
    <w:p w14:paraId="3193728F" w14:textId="639F1AC0" w:rsidR="00E73ED7" w:rsidRDefault="00E73ED7" w:rsidP="00121455">
      <w:pPr>
        <w:pStyle w:val="ListParagraph"/>
        <w:numPr>
          <w:ilvl w:val="0"/>
          <w:numId w:val="48"/>
        </w:numPr>
        <w:spacing w:after="0"/>
        <w:ind w:left="357" w:hanging="357"/>
        <w:rPr>
          <w:rFonts w:cs="Arial"/>
        </w:rPr>
      </w:pPr>
      <w:r w:rsidRPr="00121455">
        <w:rPr>
          <w:rFonts w:cs="Arial"/>
        </w:rPr>
        <w:t>contributions are non-refundable;</w:t>
      </w:r>
    </w:p>
    <w:p w14:paraId="009EA175" w14:textId="6B5D03E8" w:rsidR="00E73ED7" w:rsidRDefault="00E73ED7" w:rsidP="00121455">
      <w:pPr>
        <w:pStyle w:val="ListParagraph"/>
        <w:numPr>
          <w:ilvl w:val="0"/>
          <w:numId w:val="48"/>
        </w:numPr>
        <w:spacing w:after="0"/>
        <w:ind w:left="357" w:hanging="357"/>
        <w:rPr>
          <w:rFonts w:cs="Arial"/>
        </w:rPr>
      </w:pPr>
      <w:r w:rsidRPr="00121455">
        <w:rPr>
          <w:rFonts w:cs="Arial"/>
        </w:rPr>
        <w:t>payment plan arrangements may be available however are at the discretion of the supplier and are required to be arranged with the supplier directly;</w:t>
      </w:r>
    </w:p>
    <w:p w14:paraId="60A4C03F" w14:textId="2D19FA13" w:rsidR="00E73ED7" w:rsidRDefault="00121455" w:rsidP="00121455">
      <w:pPr>
        <w:pStyle w:val="ListParagraph"/>
        <w:numPr>
          <w:ilvl w:val="0"/>
          <w:numId w:val="48"/>
        </w:numPr>
        <w:spacing w:after="0"/>
        <w:ind w:left="357" w:hanging="357"/>
        <w:rPr>
          <w:rFonts w:cs="Arial"/>
        </w:rPr>
      </w:pPr>
      <w:r>
        <w:rPr>
          <w:rFonts w:cs="Arial"/>
        </w:rPr>
        <w:t>the item</w:t>
      </w:r>
      <w:r w:rsidR="00E73ED7" w:rsidRPr="00121455">
        <w:rPr>
          <w:rFonts w:cs="Arial"/>
        </w:rPr>
        <w:t xml:space="preserve"> remains the property of the TEP unless the client’s contribution is equal to or greater than 50 percent of the total cost;</w:t>
      </w:r>
    </w:p>
    <w:p w14:paraId="2B701A50" w14:textId="5AED63FB" w:rsidR="00E73ED7" w:rsidRPr="00121455" w:rsidRDefault="00E73ED7" w:rsidP="00121455">
      <w:pPr>
        <w:pStyle w:val="ListParagraph"/>
        <w:numPr>
          <w:ilvl w:val="0"/>
          <w:numId w:val="48"/>
        </w:numPr>
        <w:spacing w:after="0"/>
        <w:ind w:left="357" w:hanging="357"/>
        <w:rPr>
          <w:rFonts w:cs="Arial"/>
        </w:rPr>
      </w:pPr>
      <w:r w:rsidRPr="00F073B0">
        <w:t xml:space="preserve">the </w:t>
      </w:r>
      <w:r>
        <w:t>TEP</w:t>
      </w:r>
      <w:r w:rsidRPr="00F073B0">
        <w:t xml:space="preserve"> reserves the right to decline assistance (subsidy funding) towards an item that is not on the </w:t>
      </w:r>
      <w:r>
        <w:t>TEP</w:t>
      </w:r>
      <w:r w:rsidRPr="00F073B0">
        <w:t xml:space="preserve"> Approved Equipment List or is beyond the specifications prescribed and selected by client preference;</w:t>
      </w:r>
    </w:p>
    <w:p w14:paraId="06AE43CF" w14:textId="7C9D7975" w:rsidR="00E73ED7" w:rsidRPr="00121455" w:rsidRDefault="00E73ED7" w:rsidP="00121455">
      <w:pPr>
        <w:pStyle w:val="ListParagraph"/>
        <w:numPr>
          <w:ilvl w:val="0"/>
          <w:numId w:val="48"/>
        </w:numPr>
        <w:spacing w:after="0"/>
        <w:ind w:left="357" w:hanging="357"/>
        <w:rPr>
          <w:rFonts w:cs="Arial"/>
        </w:rPr>
      </w:pPr>
      <w:r w:rsidRPr="00F073B0">
        <w:t xml:space="preserve">co-payment arrangements between a third party and a </w:t>
      </w:r>
      <w:r>
        <w:t>TEP</w:t>
      </w:r>
      <w:r w:rsidRPr="00F073B0">
        <w:t xml:space="preserve"> client are acceptable however the </w:t>
      </w:r>
      <w:r>
        <w:t>TEP</w:t>
      </w:r>
      <w:r w:rsidRPr="00F073B0">
        <w:t xml:space="preserve"> does not enter into agreements with third party agencies; and</w:t>
      </w:r>
    </w:p>
    <w:p w14:paraId="666C2062" w14:textId="78FD12BE" w:rsidR="00E73ED7" w:rsidRPr="00121455" w:rsidRDefault="00E73ED7" w:rsidP="00121455">
      <w:pPr>
        <w:pStyle w:val="ListParagraph"/>
        <w:numPr>
          <w:ilvl w:val="0"/>
          <w:numId w:val="48"/>
        </w:numPr>
        <w:spacing w:after="0"/>
        <w:ind w:left="357" w:hanging="357"/>
        <w:rPr>
          <w:rFonts w:cs="Arial"/>
        </w:rPr>
      </w:pPr>
      <w:proofErr w:type="gramStart"/>
      <w:r w:rsidRPr="00F073B0">
        <w:t>a</w:t>
      </w:r>
      <w:proofErr w:type="gramEnd"/>
      <w:r w:rsidRPr="00F073B0">
        <w:t xml:space="preserve"> copy of this agreement will be provided to the supplier of </w:t>
      </w:r>
      <w:r w:rsidR="00121455">
        <w:t xml:space="preserve">the item </w:t>
      </w:r>
      <w:r w:rsidRPr="00F073B0">
        <w:t>to facilitate payment of the client contribution.</w:t>
      </w:r>
    </w:p>
    <w:p w14:paraId="5D2334AE" w14:textId="77777777" w:rsidR="00E73ED7" w:rsidRPr="00F073B0" w:rsidRDefault="00E73ED7" w:rsidP="00121455">
      <w:pPr>
        <w:pStyle w:val="Heading2"/>
        <w:keepLines w:val="0"/>
        <w:numPr>
          <w:ilvl w:val="0"/>
          <w:numId w:val="49"/>
        </w:numPr>
        <w:tabs>
          <w:tab w:val="clear" w:pos="1440"/>
          <w:tab w:val="num" w:pos="360"/>
        </w:tabs>
        <w:spacing w:after="60"/>
        <w:ind w:left="360"/>
        <w:rPr>
          <w:szCs w:val="22"/>
        </w:rPr>
      </w:pPr>
      <w:r w:rsidRPr="00F073B0">
        <w:rPr>
          <w:szCs w:val="22"/>
        </w:rPr>
        <w:t>Customisation</w:t>
      </w:r>
    </w:p>
    <w:p w14:paraId="2AA8D253" w14:textId="3DB81AE2" w:rsidR="00E73ED7" w:rsidRPr="00F073B0" w:rsidRDefault="00E73ED7" w:rsidP="00121455">
      <w:r>
        <w:t>TEP</w:t>
      </w:r>
      <w:r w:rsidR="00121455">
        <w:t xml:space="preserve"> will not fund optional accessories and/or m</w:t>
      </w:r>
      <w:r w:rsidRPr="00F073B0">
        <w:t xml:space="preserve">odifications.  Clients are required to seek prior approval from the </w:t>
      </w:r>
      <w:r>
        <w:t>TEP</w:t>
      </w:r>
      <w:r w:rsidRPr="00F073B0">
        <w:t xml:space="preserve"> and contribute the full amount for any items of this nature.</w:t>
      </w:r>
    </w:p>
    <w:p w14:paraId="29998F33" w14:textId="77777777" w:rsidR="00E73ED7" w:rsidRPr="00F073B0" w:rsidRDefault="00E73ED7" w:rsidP="00121455">
      <w:pPr>
        <w:pStyle w:val="Heading2"/>
        <w:keepLines w:val="0"/>
        <w:numPr>
          <w:ilvl w:val="0"/>
          <w:numId w:val="49"/>
        </w:numPr>
        <w:tabs>
          <w:tab w:val="clear" w:pos="1440"/>
          <w:tab w:val="num" w:pos="360"/>
        </w:tabs>
        <w:spacing w:after="60"/>
        <w:ind w:left="360"/>
        <w:rPr>
          <w:szCs w:val="22"/>
        </w:rPr>
      </w:pPr>
      <w:r w:rsidRPr="00F073B0">
        <w:rPr>
          <w:szCs w:val="22"/>
        </w:rPr>
        <w:t>Maximum Subsidies</w:t>
      </w:r>
    </w:p>
    <w:p w14:paraId="0317513A" w14:textId="77777777" w:rsidR="00E73ED7" w:rsidRPr="00F073B0" w:rsidRDefault="00E73ED7" w:rsidP="00121455">
      <w:r w:rsidRPr="00F073B0">
        <w:t xml:space="preserve">Maximum Subsidy amounts </w:t>
      </w:r>
      <w:r>
        <w:t xml:space="preserve">have been set for minor and major home modifications only.  </w:t>
      </w:r>
    </w:p>
    <w:p w14:paraId="6D14EFD2" w14:textId="3D628B45" w:rsidR="00E73ED7" w:rsidRDefault="00E73ED7" w:rsidP="00E73ED7">
      <w:r w:rsidRPr="004A7064">
        <w:t xml:space="preserve">The policy has been developed to provide a framework for the administration of the </w:t>
      </w:r>
      <w:r>
        <w:t>TEP</w:t>
      </w:r>
      <w:r w:rsidRPr="004A7064">
        <w:t xml:space="preserve"> in the </w:t>
      </w:r>
      <w:smartTag w:uri="urn:schemas-microsoft-com:office:smarttags" w:element="place">
        <w:smartTag w:uri="urn:schemas-microsoft-com:office:smarttags" w:element="State">
          <w:r w:rsidRPr="004A7064">
            <w:t>Northern Territory</w:t>
          </w:r>
        </w:smartTag>
      </w:smartTag>
      <w:r w:rsidRPr="004A7064">
        <w:t xml:space="preserve">.  It will facilitate delivery of a coordinated and efficient service, which provides consistency and equity in client access to </w:t>
      </w:r>
      <w:r w:rsidR="00121455">
        <w:t xml:space="preserve">items of assistive technology, </w:t>
      </w:r>
      <w:r w:rsidRPr="004A7064">
        <w:t>Territory wide.</w:t>
      </w:r>
    </w:p>
    <w:p w14:paraId="4E0DDC79" w14:textId="77777777" w:rsidR="00A01F0E" w:rsidRPr="00E73ED7" w:rsidRDefault="00A01F0E" w:rsidP="00E73ED7">
      <w:pPr>
        <w:rPr>
          <w:rFonts w:ascii="Lato Semibold" w:eastAsia="Times New Roman" w:hAnsi="Lato Semibold"/>
          <w:noProof/>
          <w:color w:val="1F1F5F"/>
          <w:kern w:val="32"/>
          <w:sz w:val="36"/>
          <w:szCs w:val="32"/>
          <w:lang w:eastAsia="en-AU"/>
        </w:rPr>
      </w:pPr>
    </w:p>
    <w:tbl>
      <w:tblPr>
        <w:tblStyle w:val="NTGtable1"/>
        <w:tblW w:w="10343" w:type="dxa"/>
        <w:tblInd w:w="0" w:type="dxa"/>
        <w:tblLook w:val="0120" w:firstRow="1" w:lastRow="0" w:firstColumn="0" w:lastColumn="1" w:noHBand="0" w:noVBand="0"/>
      </w:tblPr>
      <w:tblGrid>
        <w:gridCol w:w="3397"/>
        <w:gridCol w:w="3402"/>
        <w:gridCol w:w="3509"/>
        <w:gridCol w:w="35"/>
      </w:tblGrid>
      <w:tr w:rsidR="00E73ED7" w:rsidRPr="00C64D3F" w14:paraId="7E44DA97" w14:textId="77777777" w:rsidTr="005A3224">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74146C5" w14:textId="77777777" w:rsidR="00E73ED7" w:rsidRPr="00C64D3F" w:rsidRDefault="00E73ED7" w:rsidP="005A3224">
            <w:pPr>
              <w:jc w:val="center"/>
            </w:pPr>
            <w:r w:rsidRPr="00C64D3F">
              <w:rPr>
                <w:w w:val="105"/>
              </w:rPr>
              <w:lastRenderedPageBreak/>
              <w:t>Quality Assurance</w:t>
            </w:r>
          </w:p>
        </w:tc>
      </w:tr>
      <w:tr w:rsidR="00E73ED7" w:rsidRPr="00C64D3F" w14:paraId="7145BD53"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3282C9B1" w14:textId="77777777" w:rsidR="00E73ED7" w:rsidRPr="00C64D3F" w:rsidRDefault="00E73ED7" w:rsidP="005A3224"/>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5E80686F" w14:textId="77777777" w:rsidR="00E73ED7" w:rsidRPr="00C64D3F" w:rsidRDefault="00E73ED7" w:rsidP="005A3224">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7F33620E" w14:textId="77777777" w:rsidR="00E73ED7" w:rsidRPr="00C64D3F" w:rsidRDefault="00E73ED7" w:rsidP="005A3224">
            <w:pPr>
              <w:rPr>
                <w:b/>
              </w:rPr>
            </w:pPr>
            <w:r w:rsidRPr="00C64D3F">
              <w:rPr>
                <w:b/>
              </w:rPr>
              <w:t>Responsibility</w:t>
            </w:r>
          </w:p>
        </w:tc>
      </w:tr>
      <w:tr w:rsidR="00E73ED7" w:rsidRPr="00C64D3F" w14:paraId="0D61E9A7"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1B7D1E4D" w14:textId="77777777" w:rsidR="00E73ED7" w:rsidRPr="00C64D3F" w:rsidRDefault="00E73ED7" w:rsidP="005A3224">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2A004146" w14:textId="77777777" w:rsidR="00E73ED7" w:rsidRPr="00C64D3F" w:rsidRDefault="00E73ED7" w:rsidP="005A3224">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66D4D0FA" w14:textId="77777777" w:rsidR="00E73ED7" w:rsidRPr="002C5ED6" w:rsidRDefault="00E73ED7" w:rsidP="005A3224">
            <w:r w:rsidRPr="002C5ED6">
              <w:rPr>
                <w:color w:val="000000"/>
              </w:rPr>
              <w:t>PGC Administrators</w:t>
            </w:r>
          </w:p>
        </w:tc>
      </w:tr>
      <w:tr w:rsidR="00E73ED7" w:rsidRPr="00C64D3F" w14:paraId="4BA5BA56"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004D758D" w14:textId="77777777" w:rsidR="00E73ED7" w:rsidRPr="00C64D3F" w:rsidRDefault="00E73ED7" w:rsidP="005A3224">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1D1B2451" w14:textId="77777777" w:rsidR="002C5ED6" w:rsidRDefault="00E73ED7" w:rsidP="002C5ED6">
            <w:pPr>
              <w:rPr>
                <w:iCs/>
              </w:rPr>
            </w:pPr>
            <w:r>
              <w:rPr>
                <w:iCs/>
              </w:rPr>
              <w:t>TEP</w:t>
            </w:r>
            <w:r w:rsidRPr="00643DBC">
              <w:rPr>
                <w:iCs/>
              </w:rPr>
              <w:t xml:space="preserve"> policies</w:t>
            </w:r>
            <w:r w:rsidR="002C5ED6">
              <w:rPr>
                <w:iCs/>
              </w:rPr>
              <w:t xml:space="preserve"> - </w:t>
            </w:r>
            <w:r w:rsidRPr="00643DBC">
              <w:rPr>
                <w:iCs/>
              </w:rPr>
              <w:t>review</w:t>
            </w:r>
            <w:r w:rsidR="002C5ED6">
              <w:rPr>
                <w:iCs/>
              </w:rPr>
              <w:t xml:space="preserve"> every three years</w:t>
            </w:r>
          </w:p>
          <w:p w14:paraId="5D044630" w14:textId="47ACB277" w:rsidR="002C5ED6" w:rsidRDefault="00E73ED7" w:rsidP="002C5ED6">
            <w:pPr>
              <w:rPr>
                <w:iCs/>
              </w:rPr>
            </w:pPr>
            <w:r>
              <w:rPr>
                <w:iCs/>
              </w:rPr>
              <w:t>TEP</w:t>
            </w:r>
            <w:r w:rsidRPr="00643DBC">
              <w:rPr>
                <w:iCs/>
              </w:rPr>
              <w:t xml:space="preserve"> procedures</w:t>
            </w:r>
            <w:r w:rsidR="002C5ED6">
              <w:rPr>
                <w:iCs/>
              </w:rPr>
              <w:t xml:space="preserve"> – </w:t>
            </w:r>
            <w:r w:rsidRPr="00643DBC">
              <w:rPr>
                <w:iCs/>
              </w:rPr>
              <w:t>review</w:t>
            </w:r>
          </w:p>
          <w:p w14:paraId="36A35972" w14:textId="1302481A" w:rsidR="00E73ED7" w:rsidRPr="00C64D3F" w:rsidRDefault="002C5ED6" w:rsidP="002C5ED6">
            <w:r>
              <w:rPr>
                <w:iCs/>
              </w:rPr>
              <w:t>‘</w:t>
            </w:r>
            <w:proofErr w:type="gramStart"/>
            <w:r w:rsidR="00E73ED7" w:rsidRPr="00643DBC">
              <w:rPr>
                <w:iCs/>
              </w:rPr>
              <w:t>annually</w:t>
            </w:r>
            <w:proofErr w:type="gramEnd"/>
            <w:r w:rsidR="00E73ED7" w:rsidRPr="00643DBC">
              <w:rPr>
                <w:iCs/>
              </w:rPr>
              <w:t xml:space="preserve">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33AB3F3C" w14:textId="5B0C57FC" w:rsidR="00E73ED7" w:rsidRPr="00C64D3F" w:rsidRDefault="00E73ED7" w:rsidP="002C5ED6">
            <w:r>
              <w:t>Senior Manager Comm</w:t>
            </w:r>
            <w:r w:rsidR="002C5ED6">
              <w:t xml:space="preserve">unity Allied Health &amp; Aged Care, </w:t>
            </w:r>
            <w:r>
              <w:t xml:space="preserve">TEHS </w:t>
            </w:r>
          </w:p>
        </w:tc>
      </w:tr>
      <w:tr w:rsidR="00E73ED7" w:rsidRPr="00C64D3F" w14:paraId="6415E54B" w14:textId="77777777" w:rsidTr="005A322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2FEA5168" w14:textId="77777777" w:rsidR="00E73ED7" w:rsidRPr="00C64D3F" w:rsidRDefault="00E73ED7" w:rsidP="005A3224">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4B41C64B" w14:textId="7CB07FDD" w:rsidR="00E73ED7" w:rsidRPr="006C5F56" w:rsidRDefault="00E73ED7" w:rsidP="005A3224">
            <w:r w:rsidRPr="006C5F56">
              <w:rPr>
                <w:color w:val="000000"/>
              </w:rPr>
              <w:t xml:space="preserve">Adverse events will be recorded in the patient’s </w:t>
            </w:r>
            <w:r w:rsidR="002C5ED6">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3560F7F9" w14:textId="2B397C36" w:rsidR="00E73ED7" w:rsidRPr="00C64D3F" w:rsidRDefault="00E73ED7" w:rsidP="002C5ED6">
            <w:r>
              <w:t>Senior Manager Community Allied Health &amp; Aged Care</w:t>
            </w:r>
            <w:r w:rsidR="002C5ED6">
              <w:t xml:space="preserve">, </w:t>
            </w:r>
            <w:r>
              <w:t>TEHS</w:t>
            </w:r>
          </w:p>
        </w:tc>
      </w:tr>
      <w:tr w:rsidR="00E73ED7" w:rsidRPr="00C64D3F" w14:paraId="14F615BF" w14:textId="77777777" w:rsidTr="005A32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370A6648" w14:textId="77777777" w:rsidR="00E73ED7" w:rsidRPr="00C64D3F" w:rsidRDefault="00E73ED7" w:rsidP="005A3224">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2502B18C" w14:textId="77777777" w:rsidR="00E73ED7" w:rsidRPr="00C64D3F" w:rsidRDefault="00E73ED7" w:rsidP="005A3224">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73621615" w14:textId="77777777" w:rsidR="00E73ED7" w:rsidRPr="00C64D3F" w:rsidRDefault="00E73ED7" w:rsidP="005A3224">
            <w:pPr>
              <w:rPr>
                <w:color w:val="000000"/>
                <w:sz w:val="20"/>
              </w:rPr>
            </w:pPr>
          </w:p>
        </w:tc>
      </w:tr>
    </w:tbl>
    <w:p w14:paraId="6469334F" w14:textId="515EA1A5" w:rsidR="00FE64D0" w:rsidRDefault="00FE64D0" w:rsidP="003C4941">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CC742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034A507F" w14:textId="77777777" w:rsidR="00E73ED7" w:rsidRPr="00E73ED7" w:rsidRDefault="00E73ED7" w:rsidP="00E73ED7">
            <w:pPr>
              <w:rPr>
                <w:iCs/>
              </w:rPr>
            </w:pPr>
            <w:r w:rsidRPr="00E73ED7">
              <w:rPr>
                <w:iCs/>
              </w:rPr>
              <w:t>TEP Policy and Procedure Manual</w:t>
            </w:r>
          </w:p>
          <w:p w14:paraId="54FED9B3" w14:textId="77777777" w:rsidR="00E73ED7" w:rsidRPr="00E73ED7" w:rsidRDefault="00E73ED7" w:rsidP="00E73ED7">
            <w:pPr>
              <w:rPr>
                <w:iCs/>
              </w:rPr>
            </w:pPr>
            <w:r w:rsidRPr="00E73ED7">
              <w:rPr>
                <w:iCs/>
              </w:rPr>
              <w:t>TEP PO-2 Financial Eligibility Policy</w:t>
            </w:r>
          </w:p>
          <w:p w14:paraId="4FF27F65" w14:textId="7D2E2236" w:rsidR="00E73ED7" w:rsidRPr="00E73ED7" w:rsidRDefault="002C5ED6" w:rsidP="00E73ED7">
            <w:pPr>
              <w:rPr>
                <w:iCs/>
              </w:rPr>
            </w:pPr>
            <w:r>
              <w:rPr>
                <w:iCs/>
              </w:rPr>
              <w:t>TEP GL T</w:t>
            </w:r>
            <w:r w:rsidR="00E73ED7" w:rsidRPr="00E73ED7">
              <w:rPr>
                <w:iCs/>
              </w:rPr>
              <w:t>EP Glossary</w:t>
            </w:r>
          </w:p>
          <w:p w14:paraId="5B0E968B" w14:textId="77777777" w:rsidR="00C64D3F" w:rsidRPr="00C64D3F" w:rsidRDefault="00C64D3F" w:rsidP="00E73ED7">
            <w:pPr>
              <w:tabs>
                <w:tab w:val="left" w:pos="318"/>
              </w:tabs>
              <w:autoSpaceDE w:val="0"/>
              <w:autoSpaceDN w:val="0"/>
              <w:adjustRightInd w:val="0"/>
              <w:spacing w:before="120" w:after="120"/>
            </w:pPr>
          </w:p>
        </w:tc>
      </w:tr>
      <w:tr w:rsidR="00C64D3F" w:rsidRPr="00C64D3F" w14:paraId="28C003B7" w14:textId="77777777" w:rsidTr="00CC742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438036B8" w14:textId="77777777" w:rsidR="00C64D3F" w:rsidRPr="00C64D3F" w:rsidRDefault="00C64D3F" w:rsidP="00E73ED7">
            <w:pPr>
              <w:tabs>
                <w:tab w:val="left" w:pos="318"/>
              </w:tabs>
              <w:autoSpaceDE w:val="0"/>
              <w:autoSpaceDN w:val="0"/>
              <w:adjustRightInd w:val="0"/>
              <w:spacing w:before="120" w:after="120"/>
            </w:pPr>
          </w:p>
        </w:tc>
      </w:tr>
    </w:tbl>
    <w:p w14:paraId="565B3354" w14:textId="77777777" w:rsidR="00C64D3F" w:rsidRPr="00C64D3F" w:rsidRDefault="00C64D3F" w:rsidP="00C64D3F">
      <w:pPr>
        <w:rPr>
          <w:lang w:eastAsia="en-AU"/>
        </w:rPr>
      </w:pPr>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t>Definitions, Acronyms and Alternative Search Terms</w:t>
            </w:r>
          </w:p>
        </w:tc>
      </w:tr>
      <w:tr w:rsidR="00FB7198" w:rsidRPr="00C64D3F" w14:paraId="3E0BCBD2" w14:textId="77777777" w:rsidTr="003039C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tcPr>
          <w:p w14:paraId="32380849" w14:textId="42E96EDB" w:rsidR="00FB7198" w:rsidRDefault="00FB7198" w:rsidP="00FB7198">
            <w:pPr>
              <w:rPr>
                <w:b/>
              </w:rPr>
            </w:pPr>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2AA2AE77" w14:textId="104E93FD" w:rsidR="00FB7198" w:rsidRPr="00996ECF" w:rsidRDefault="00FB7198" w:rsidP="00FB7198">
            <w:r w:rsidRPr="00C64D3F">
              <w:t>Description</w:t>
            </w:r>
          </w:p>
        </w:tc>
      </w:tr>
      <w:tr w:rsidR="00E73ED7" w:rsidRPr="00C64D3F" w14:paraId="522E4630" w14:textId="77777777" w:rsidTr="0052139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vAlign w:val="top"/>
            <w:hideMark/>
          </w:tcPr>
          <w:p w14:paraId="005DF703" w14:textId="3122E942" w:rsidR="00E73ED7" w:rsidRPr="00C64D3F" w:rsidRDefault="00E73ED7" w:rsidP="00E73ED7">
            <w:r>
              <w:rPr>
                <w:b/>
              </w:rPr>
              <w:t>TEP</w:t>
            </w:r>
            <w:r w:rsidRPr="004A7064">
              <w:rPr>
                <w:b/>
              </w:rPr>
              <w:t xml:space="preserve"> Approved Equipment List</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1811231C" w:rsidR="00E73ED7" w:rsidRPr="00C64D3F" w:rsidRDefault="00E73ED7" w:rsidP="00E73ED7">
            <w:r w:rsidRPr="00996ECF">
              <w:t xml:space="preserve">A list of specified </w:t>
            </w:r>
            <w:r w:rsidR="002C5ED6">
              <w:t xml:space="preserve">items of assistive technology </w:t>
            </w:r>
            <w:r w:rsidRPr="00996ECF">
              <w:t>each having clinical guidelines and conditions for prescription.</w:t>
            </w:r>
          </w:p>
        </w:tc>
      </w:tr>
      <w:tr w:rsidR="00E73ED7" w:rsidRPr="00C64D3F" w14:paraId="5C4A9CCC" w14:textId="77777777" w:rsidTr="0052139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47857D" w14:textId="61BCAB5B" w:rsidR="00E73ED7" w:rsidRPr="00C64D3F" w:rsidRDefault="00E73ED7" w:rsidP="00E73ED7">
            <w:r w:rsidRPr="00D6298F">
              <w:rPr>
                <w:b/>
              </w:rPr>
              <w:t>Customisation</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6D8F562" w14:textId="1E06A172" w:rsidR="00E73ED7" w:rsidRPr="00C64D3F" w:rsidRDefault="00E73ED7" w:rsidP="00E73ED7">
            <w:r w:rsidRPr="00996ECF">
              <w:rPr>
                <w:color w:val="000000"/>
                <w:lang w:eastAsia="en-AU"/>
              </w:rPr>
              <w:t>Assembly or adaptation of an existing item, by a person who is not the manufacturer, for an individual client.  Customisation may change the character or structure of the item but does not change the intended purpose.</w:t>
            </w:r>
          </w:p>
        </w:tc>
      </w:tr>
    </w:tbl>
    <w:p w14:paraId="5D4303CF" w14:textId="5637C835" w:rsidR="00FE64D0" w:rsidRDefault="00FE64D0" w:rsidP="00F0004B">
      <w:pPr>
        <w:rPr>
          <w:noProof/>
          <w:lang w:eastAsia="en-AU"/>
        </w:rPr>
      </w:pPr>
    </w:p>
    <w:p w14:paraId="35088F7E" w14:textId="4E29454F" w:rsidR="00A01F0E" w:rsidRDefault="00A01F0E" w:rsidP="00F0004B">
      <w:pPr>
        <w:rPr>
          <w:noProof/>
          <w:lang w:eastAsia="en-AU"/>
        </w:rPr>
      </w:pPr>
    </w:p>
    <w:p w14:paraId="2054D3F9" w14:textId="77D30852" w:rsidR="00A01F0E" w:rsidRDefault="00A01F0E" w:rsidP="00F0004B">
      <w:pPr>
        <w:rPr>
          <w:noProof/>
          <w:lang w:eastAsia="en-AU"/>
        </w:rPr>
      </w:pPr>
    </w:p>
    <w:p w14:paraId="75F3386F" w14:textId="604E396C" w:rsidR="00A01F0E" w:rsidRDefault="00A01F0E" w:rsidP="00F0004B">
      <w:pPr>
        <w:rPr>
          <w:noProof/>
          <w:lang w:eastAsia="en-AU"/>
        </w:rPr>
      </w:pPr>
    </w:p>
    <w:p w14:paraId="33FDE064" w14:textId="7DD0E870" w:rsidR="00A01F0E" w:rsidRDefault="00A01F0E" w:rsidP="00F0004B">
      <w:pPr>
        <w:rPr>
          <w:noProof/>
          <w:lang w:eastAsia="en-AU"/>
        </w:rPr>
      </w:pPr>
    </w:p>
    <w:p w14:paraId="5272080C" w14:textId="77777777" w:rsidR="00A01F0E" w:rsidRDefault="00A01F0E" w:rsidP="00F0004B">
      <w:pPr>
        <w:rPr>
          <w:noProof/>
          <w:lang w:eastAsia="en-AU"/>
        </w:rPr>
      </w:pPr>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37A6B8EB" w:rsidR="00D3725C" w:rsidRDefault="00366C75">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76874CD0" w14:textId="77777777" w:rsidR="004B2F8E" w:rsidRDefault="004B2F8E" w:rsidP="004B2F8E">
      <w:pPr>
        <w:rPr>
          <w:lang w:eastAsia="en-AU"/>
        </w:rPr>
      </w:pPr>
    </w:p>
    <w:sectPr w:rsidR="004B2F8E" w:rsidSect="00A567EE">
      <w:headerReference w:type="even" r:id="rId30"/>
      <w:headerReference w:type="default" r:id="rId31"/>
      <w:footerReference w:type="even" r:id="rId32"/>
      <w:footerReference w:type="default" r:id="rId33"/>
      <w:headerReference w:type="first" r:id="rId34"/>
      <w:footerReference w:type="first" r:id="rId3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A246" w14:textId="77777777" w:rsidR="00CB26FE" w:rsidRDefault="00CB26FE" w:rsidP="007332FF">
      <w:r>
        <w:separator/>
      </w:r>
    </w:p>
  </w:endnote>
  <w:endnote w:type="continuationSeparator" w:id="0">
    <w:p w14:paraId="43129C89" w14:textId="77777777" w:rsidR="00CB26FE" w:rsidRDefault="00CB26F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268B" w14:textId="77777777" w:rsidR="004C6C27" w:rsidRDefault="004C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2BAD87DC" w:rsidR="00A01F0E"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57AF">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57AF">
            <w:rPr>
              <w:rStyle w:val="PageNumber"/>
              <w:noProof/>
            </w:rPr>
            <w:t>4</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27764329" w:rsidR="00A01F0E" w:rsidRPr="00CE30CF" w:rsidRDefault="00D47DC7" w:rsidP="004C6C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57A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57AF">
            <w:rPr>
              <w:rStyle w:val="PageNumber"/>
              <w:noProof/>
            </w:rPr>
            <w:t>4</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4367" w14:textId="77777777" w:rsidR="00CB26FE" w:rsidRDefault="00CB26FE" w:rsidP="007332FF">
      <w:r>
        <w:separator/>
      </w:r>
    </w:p>
  </w:footnote>
  <w:footnote w:type="continuationSeparator" w:id="0">
    <w:p w14:paraId="24A5053E" w14:textId="77777777" w:rsidR="00CB26FE" w:rsidRDefault="00CB26F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38B0" w14:textId="77777777" w:rsidR="004C6C27" w:rsidRDefault="004C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4509" w14:textId="77777777" w:rsidR="004C6C27" w:rsidRPr="00121748" w:rsidRDefault="004C6C27"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5465B082" w14:textId="0BE25DAA" w:rsidR="00983000" w:rsidRPr="004C6C27" w:rsidRDefault="004C6C27" w:rsidP="004C6C27">
    <w:pPr>
      <w:pStyle w:val="Heade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HEALTHINTRA-1880-8505</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35DCEDDF" w:rsidR="00E54F9E" w:rsidRPr="00A4361A" w:rsidRDefault="000F63E0" w:rsidP="00435082">
    <w:pPr>
      <w:pStyle w:val="Title"/>
      <w:rPr>
        <w:sz w:val="40"/>
        <w:szCs w:val="40"/>
      </w:rPr>
    </w:pPr>
    <w:r>
      <w:rPr>
        <w:rStyle w:val="TitleChar"/>
      </w:rPr>
      <w:t>TEP Client Contribution Policy</w:t>
    </w:r>
    <w:r w:rsidR="00A4361A">
      <w:rPr>
        <w:rStyle w:val="TitleChar"/>
      </w:rPr>
      <w:t xml:space="preserve"> </w:t>
    </w:r>
    <w:r w:rsidR="00A4361A" w:rsidRPr="00A4361A">
      <w:rPr>
        <w:rStyle w:val="TitleChar"/>
        <w:sz w:val="40"/>
        <w:szCs w:val="40"/>
      </w:rPr>
      <w:t>(TEP PO-5)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EE575A"/>
    <w:multiLevelType w:val="hybridMultilevel"/>
    <w:tmpl w:val="4DC889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1A098E"/>
    <w:multiLevelType w:val="hybridMultilevel"/>
    <w:tmpl w:val="D7E04C1A"/>
    <w:lvl w:ilvl="0" w:tplc="0C090019">
      <w:start w:val="1"/>
      <w:numFmt w:val="lowerLetter"/>
      <w:lvlText w:val="%1."/>
      <w:lvlJc w:val="left"/>
      <w:pPr>
        <w:tabs>
          <w:tab w:val="num" w:pos="1440"/>
        </w:tabs>
        <w:ind w:left="1440" w:hanging="360"/>
      </w:p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6"/>
  </w:num>
  <w:num w:numId="7">
    <w:abstractNumId w:val="50"/>
  </w:num>
  <w:num w:numId="8">
    <w:abstractNumId w:val="26"/>
  </w:num>
  <w:num w:numId="9">
    <w:abstractNumId w:val="57"/>
  </w:num>
  <w:num w:numId="10">
    <w:abstractNumId w:val="22"/>
  </w:num>
  <w:num w:numId="11">
    <w:abstractNumId w:val="63"/>
  </w:num>
  <w:num w:numId="12">
    <w:abstractNumId w:val="18"/>
  </w:num>
  <w:num w:numId="13">
    <w:abstractNumId w:val="1"/>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1"/>
  </w:num>
  <w:num w:numId="27">
    <w:abstractNumId w:val="72"/>
  </w:num>
  <w:num w:numId="28">
    <w:abstractNumId w:val="37"/>
  </w:num>
  <w:num w:numId="29">
    <w:abstractNumId w:val="30"/>
  </w:num>
  <w:num w:numId="30">
    <w:abstractNumId w:val="0"/>
  </w:num>
  <w:num w:numId="31">
    <w:abstractNumId w:val="41"/>
  </w:num>
  <w:num w:numId="32">
    <w:abstractNumId w:val="10"/>
  </w:num>
  <w:num w:numId="33">
    <w:abstractNumId w:val="64"/>
  </w:num>
  <w:num w:numId="34">
    <w:abstractNumId w:val="33"/>
  </w:num>
  <w:num w:numId="35">
    <w:abstractNumId w:val="49"/>
  </w:num>
  <w:num w:numId="36">
    <w:abstractNumId w:val="65"/>
  </w:num>
  <w:num w:numId="37">
    <w:abstractNumId w:val="67"/>
  </w:num>
  <w:num w:numId="38">
    <w:abstractNumId w:val="15"/>
  </w:num>
  <w:num w:numId="39">
    <w:abstractNumId w:val="27"/>
  </w:num>
  <w:num w:numId="40">
    <w:abstractNumId w:val="68"/>
  </w:num>
  <w:num w:numId="41">
    <w:abstractNumId w:val="2"/>
  </w:num>
  <w:num w:numId="42">
    <w:abstractNumId w:val="60"/>
  </w:num>
  <w:num w:numId="43">
    <w:abstractNumId w:val="12"/>
  </w:num>
  <w:num w:numId="44">
    <w:abstractNumId w:val="36"/>
  </w:num>
  <w:num w:numId="45">
    <w:abstractNumId w:val="4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106AB"/>
    <w:rsid w:val="0002393A"/>
    <w:rsid w:val="00027DB8"/>
    <w:rsid w:val="00031A96"/>
    <w:rsid w:val="00040BF3"/>
    <w:rsid w:val="0004211C"/>
    <w:rsid w:val="0004247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33F9"/>
    <w:rsid w:val="000962C5"/>
    <w:rsid w:val="00096B1A"/>
    <w:rsid w:val="00097865"/>
    <w:rsid w:val="000A4317"/>
    <w:rsid w:val="000A559C"/>
    <w:rsid w:val="000B2CA1"/>
    <w:rsid w:val="000D1F29"/>
    <w:rsid w:val="000D5088"/>
    <w:rsid w:val="000D633D"/>
    <w:rsid w:val="000E342B"/>
    <w:rsid w:val="000E3ED2"/>
    <w:rsid w:val="000E5DD2"/>
    <w:rsid w:val="000F2958"/>
    <w:rsid w:val="000F3850"/>
    <w:rsid w:val="000F604F"/>
    <w:rsid w:val="000F63E0"/>
    <w:rsid w:val="00104E7F"/>
    <w:rsid w:val="001137EC"/>
    <w:rsid w:val="001152F5"/>
    <w:rsid w:val="00117743"/>
    <w:rsid w:val="00117F5B"/>
    <w:rsid w:val="00120C02"/>
    <w:rsid w:val="00121455"/>
    <w:rsid w:val="00125908"/>
    <w:rsid w:val="00132658"/>
    <w:rsid w:val="00150DC0"/>
    <w:rsid w:val="0015394D"/>
    <w:rsid w:val="00156CD4"/>
    <w:rsid w:val="0016153B"/>
    <w:rsid w:val="00162207"/>
    <w:rsid w:val="00164A3E"/>
    <w:rsid w:val="00166FF6"/>
    <w:rsid w:val="00176123"/>
    <w:rsid w:val="00181620"/>
    <w:rsid w:val="00187130"/>
    <w:rsid w:val="001937F8"/>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3CC9"/>
    <w:rsid w:val="001F59E6"/>
    <w:rsid w:val="00203F1C"/>
    <w:rsid w:val="00206936"/>
    <w:rsid w:val="00206C6F"/>
    <w:rsid w:val="00206FBD"/>
    <w:rsid w:val="00207746"/>
    <w:rsid w:val="00230031"/>
    <w:rsid w:val="00235C01"/>
    <w:rsid w:val="00247343"/>
    <w:rsid w:val="00265C56"/>
    <w:rsid w:val="00270624"/>
    <w:rsid w:val="002716CD"/>
    <w:rsid w:val="00271F7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5ED6"/>
    <w:rsid w:val="002D3A57"/>
    <w:rsid w:val="002D6524"/>
    <w:rsid w:val="002D7D05"/>
    <w:rsid w:val="002E20C8"/>
    <w:rsid w:val="002E4290"/>
    <w:rsid w:val="002E4AC4"/>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66C75"/>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F8E"/>
    <w:rsid w:val="004B35EA"/>
    <w:rsid w:val="004B69E4"/>
    <w:rsid w:val="004C6C27"/>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07FEE"/>
    <w:rsid w:val="00512A04"/>
    <w:rsid w:val="00520499"/>
    <w:rsid w:val="005249F5"/>
    <w:rsid w:val="005260F7"/>
    <w:rsid w:val="00543BD1"/>
    <w:rsid w:val="00556113"/>
    <w:rsid w:val="00564C12"/>
    <w:rsid w:val="005654B8"/>
    <w:rsid w:val="00570D94"/>
    <w:rsid w:val="005762CC"/>
    <w:rsid w:val="00582D3D"/>
    <w:rsid w:val="00590040"/>
    <w:rsid w:val="005932E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23D0"/>
    <w:rsid w:val="00620675"/>
    <w:rsid w:val="0062172F"/>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57AF"/>
    <w:rsid w:val="00796461"/>
    <w:rsid w:val="007A10D7"/>
    <w:rsid w:val="007A6A4F"/>
    <w:rsid w:val="007B03F5"/>
    <w:rsid w:val="007B5C09"/>
    <w:rsid w:val="007B5DA2"/>
    <w:rsid w:val="007C0966"/>
    <w:rsid w:val="007C19E7"/>
    <w:rsid w:val="007C5CFD"/>
    <w:rsid w:val="007C6D9F"/>
    <w:rsid w:val="007D4893"/>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2357"/>
    <w:rsid w:val="008C70BB"/>
    <w:rsid w:val="008D1B00"/>
    <w:rsid w:val="008D57B8"/>
    <w:rsid w:val="008E03FC"/>
    <w:rsid w:val="008E510B"/>
    <w:rsid w:val="00902B13"/>
    <w:rsid w:val="00911941"/>
    <w:rsid w:val="009158F8"/>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1F0E"/>
    <w:rsid w:val="00A03290"/>
    <w:rsid w:val="00A0387E"/>
    <w:rsid w:val="00A05BFD"/>
    <w:rsid w:val="00A07490"/>
    <w:rsid w:val="00A10655"/>
    <w:rsid w:val="00A11019"/>
    <w:rsid w:val="00A12B64"/>
    <w:rsid w:val="00A22C38"/>
    <w:rsid w:val="00A25193"/>
    <w:rsid w:val="00A26E80"/>
    <w:rsid w:val="00A31AE8"/>
    <w:rsid w:val="00A3739D"/>
    <w:rsid w:val="00A37DDA"/>
    <w:rsid w:val="00A4361A"/>
    <w:rsid w:val="00A45005"/>
    <w:rsid w:val="00A567EE"/>
    <w:rsid w:val="00A70DD8"/>
    <w:rsid w:val="00A76790"/>
    <w:rsid w:val="00A85D0C"/>
    <w:rsid w:val="00A925EC"/>
    <w:rsid w:val="00A929AA"/>
    <w:rsid w:val="00A92B6B"/>
    <w:rsid w:val="00AA541E"/>
    <w:rsid w:val="00AD0DA4"/>
    <w:rsid w:val="00AD4169"/>
    <w:rsid w:val="00AE25C6"/>
    <w:rsid w:val="00AE306C"/>
    <w:rsid w:val="00AF26B8"/>
    <w:rsid w:val="00AF28C1"/>
    <w:rsid w:val="00B02EF1"/>
    <w:rsid w:val="00B07C97"/>
    <w:rsid w:val="00B11C67"/>
    <w:rsid w:val="00B14257"/>
    <w:rsid w:val="00B15754"/>
    <w:rsid w:val="00B16002"/>
    <w:rsid w:val="00B2046E"/>
    <w:rsid w:val="00B20E8B"/>
    <w:rsid w:val="00B257E1"/>
    <w:rsid w:val="00B2599A"/>
    <w:rsid w:val="00B27AC4"/>
    <w:rsid w:val="00B343CC"/>
    <w:rsid w:val="00B401D9"/>
    <w:rsid w:val="00B5084A"/>
    <w:rsid w:val="00B606A1"/>
    <w:rsid w:val="00B6138C"/>
    <w:rsid w:val="00B614F7"/>
    <w:rsid w:val="00B61B26"/>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47D77"/>
    <w:rsid w:val="00C51537"/>
    <w:rsid w:val="00C52BC3"/>
    <w:rsid w:val="00C577CB"/>
    <w:rsid w:val="00C61AFA"/>
    <w:rsid w:val="00C61D64"/>
    <w:rsid w:val="00C62099"/>
    <w:rsid w:val="00C62A34"/>
    <w:rsid w:val="00C64D3F"/>
    <w:rsid w:val="00C64EA3"/>
    <w:rsid w:val="00C72867"/>
    <w:rsid w:val="00C75E81"/>
    <w:rsid w:val="00C75F90"/>
    <w:rsid w:val="00C83BB6"/>
    <w:rsid w:val="00C86609"/>
    <w:rsid w:val="00C92B4C"/>
    <w:rsid w:val="00C954F6"/>
    <w:rsid w:val="00CA36A0"/>
    <w:rsid w:val="00CA6BC5"/>
    <w:rsid w:val="00CB26FE"/>
    <w:rsid w:val="00CC571B"/>
    <w:rsid w:val="00CC61CD"/>
    <w:rsid w:val="00CC6C02"/>
    <w:rsid w:val="00CC737B"/>
    <w:rsid w:val="00CC7426"/>
    <w:rsid w:val="00CD5011"/>
    <w:rsid w:val="00CE640F"/>
    <w:rsid w:val="00CE76BC"/>
    <w:rsid w:val="00CF5336"/>
    <w:rsid w:val="00CF540E"/>
    <w:rsid w:val="00D02F07"/>
    <w:rsid w:val="00D15D88"/>
    <w:rsid w:val="00D27D49"/>
    <w:rsid w:val="00D27EBE"/>
    <w:rsid w:val="00D36A49"/>
    <w:rsid w:val="00D3725C"/>
    <w:rsid w:val="00D43E8D"/>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1882"/>
    <w:rsid w:val="00E239FF"/>
    <w:rsid w:val="00E27D7B"/>
    <w:rsid w:val="00E30556"/>
    <w:rsid w:val="00E30981"/>
    <w:rsid w:val="00E33136"/>
    <w:rsid w:val="00E34D7C"/>
    <w:rsid w:val="00E3723D"/>
    <w:rsid w:val="00E44C89"/>
    <w:rsid w:val="00E457A6"/>
    <w:rsid w:val="00E54F9E"/>
    <w:rsid w:val="00E61BA2"/>
    <w:rsid w:val="00E63864"/>
    <w:rsid w:val="00E6403F"/>
    <w:rsid w:val="00E73ED7"/>
    <w:rsid w:val="00E75451"/>
    <w:rsid w:val="00E75EA9"/>
    <w:rsid w:val="00E76AD6"/>
    <w:rsid w:val="00E770C4"/>
    <w:rsid w:val="00E80246"/>
    <w:rsid w:val="00E84C5A"/>
    <w:rsid w:val="00E861DB"/>
    <w:rsid w:val="00E908F1"/>
    <w:rsid w:val="00E927FC"/>
    <w:rsid w:val="00E93406"/>
    <w:rsid w:val="00E956C5"/>
    <w:rsid w:val="00E95C39"/>
    <w:rsid w:val="00EA2C39"/>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7859"/>
    <w:rsid w:val="00F0004B"/>
    <w:rsid w:val="00F014DA"/>
    <w:rsid w:val="00F02591"/>
    <w:rsid w:val="00F30AE1"/>
    <w:rsid w:val="00F5696E"/>
    <w:rsid w:val="00F60EFF"/>
    <w:rsid w:val="00F67D2D"/>
    <w:rsid w:val="00F858F2"/>
    <w:rsid w:val="00F860CC"/>
    <w:rsid w:val="00F94398"/>
    <w:rsid w:val="00FB2B56"/>
    <w:rsid w:val="00FB55D5"/>
    <w:rsid w:val="00FB7198"/>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E21882"/>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4C6C27"/>
    <w:pPr>
      <w:spacing w:after="0"/>
      <w:ind w:left="284"/>
    </w:pPr>
    <w:rPr>
      <w:rFonts w:eastAsia="Times New Roman"/>
      <w:sz w:val="20"/>
      <w:szCs w:val="20"/>
    </w:rPr>
  </w:style>
  <w:style w:type="character" w:customStyle="1" w:styleId="CommentTextChar">
    <w:name w:val="Comment Text Char"/>
    <w:basedOn w:val="DefaultParagraphFont"/>
    <w:link w:val="CommentText"/>
    <w:rsid w:val="004C6C27"/>
    <w:rPr>
      <w:rFonts w:ascii="Lato" w:eastAsia="Times New Roman"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4.jpg@01D658ED.D030F090"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2.jpg@01D658ED.D030F090" TargetMode="External"/><Relationship Id="rId25" Type="http://schemas.openxmlformats.org/officeDocument/2006/relationships/image" Target="cid:image006.jpg@01D658ED.D030F09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cid:image008.jpg@01D658ED.D030F0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1.jpg@01D658ED.D030F090" TargetMode="External"/><Relationship Id="rId23" Type="http://schemas.openxmlformats.org/officeDocument/2006/relationships/image" Target="cid:image005.jpg@01D658ED.D030F090"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cid:image003.jpg@01D658ED.D030F09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cid:image007.jpg@01D658ED.D030F090"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E28D38-C52B-4458-B2BD-2EC6FFC16AB3}">
  <ds:schemaRefs>
    <ds:schemaRef ds:uri="office.server.policy"/>
  </ds:schemaRefs>
</ds:datastoreItem>
</file>

<file path=customXml/itemProps3.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4.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7.xml><?xml version="1.0" encoding="utf-8"?>
<ds:datastoreItem xmlns:ds="http://schemas.openxmlformats.org/officeDocument/2006/customXml" ds:itemID="{219E1D21-D166-476A-9A0D-9CE73E8B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17</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22</cp:revision>
  <cp:lastPrinted>2019-07-29T01:45:00Z</cp:lastPrinted>
  <dcterms:created xsi:type="dcterms:W3CDTF">2021-01-19T02:55:00Z</dcterms:created>
  <dcterms:modified xsi:type="dcterms:W3CDTF">2021-06-23T00:46:00Z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