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2C" w:rsidRDefault="00DB402C" w:rsidP="00DB402C">
      <w:pPr>
        <w:pStyle w:val="Default"/>
      </w:pPr>
    </w:p>
    <w:p w:rsidR="00DB402C" w:rsidRDefault="00DB402C" w:rsidP="00DB402C">
      <w:pPr>
        <w:pStyle w:val="Style1"/>
      </w:pPr>
      <w:r w:rsidRPr="00905B43">
        <w:t xml:space="preserve">Frequently Asked Questions </w:t>
      </w:r>
      <w:proofErr w:type="gramStart"/>
      <w:r w:rsidRPr="00905B43">
        <w:t>For</w:t>
      </w:r>
      <w:proofErr w:type="gramEnd"/>
      <w:r w:rsidRPr="00905B43">
        <w:t xml:space="preserve"> T</w:t>
      </w:r>
      <w:r w:rsidR="006D2729">
        <w:t>EHS</w:t>
      </w:r>
      <w:r w:rsidRPr="00905B43">
        <w:t xml:space="preserve"> 2020 </w:t>
      </w:r>
      <w:proofErr w:type="spellStart"/>
      <w:r w:rsidRPr="00905B43">
        <w:t>R</w:t>
      </w:r>
      <w:r w:rsidR="006D2729">
        <w:t>MO</w:t>
      </w:r>
      <w:bookmarkStart w:id="0" w:name="_GoBack"/>
      <w:bookmarkEnd w:id="0"/>
      <w:r w:rsidRPr="00905B43">
        <w:t>Recruitment</w:t>
      </w:r>
      <w:proofErr w:type="spellEnd"/>
      <w:r w:rsidRPr="00905B43">
        <w:t xml:space="preserve"> Campaign </w:t>
      </w:r>
    </w:p>
    <w:p w:rsidR="00DB402C" w:rsidRPr="00905B43" w:rsidRDefault="00DB402C" w:rsidP="00DB402C">
      <w:pPr>
        <w:pStyle w:val="Style1"/>
      </w:pPr>
    </w:p>
    <w:p w:rsidR="00DB402C" w:rsidRPr="00905B43" w:rsidRDefault="00DB402C" w:rsidP="00DB402C">
      <w:pPr>
        <w:pStyle w:val="Heading2"/>
        <w:rPr>
          <w:b w:val="0"/>
          <w:bCs w:val="0"/>
          <w:iCs w:val="0"/>
        </w:rPr>
      </w:pPr>
      <w:r w:rsidRPr="00905B43">
        <w:t xml:space="preserve">Q. Why is the recruitment process different for 2020?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A. Feedback received from the RMO cohort over a number of years has indicated that RMO’s would like to be able to apply for positions and work in certain streams. Clinicians from the nominated streams will assess your applications. The aim of this new process is to have more choice over which positions you are applying for, and to advise you what positions you have been offered either in your Letter of Offer, or very shortly after. </w:t>
      </w:r>
    </w:p>
    <w:p w:rsidR="00DB402C" w:rsidRPr="00905B43" w:rsidRDefault="00DB402C" w:rsidP="00DB402C">
      <w:pPr>
        <w:pStyle w:val="Heading2"/>
        <w:rPr>
          <w:b w:val="0"/>
          <w:bCs w:val="0"/>
          <w:iCs w:val="0"/>
        </w:rPr>
      </w:pPr>
      <w:r w:rsidRPr="00905B43">
        <w:t xml:space="preserve">Q. Where do I address the selection criteria?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A. Please answer the Yes/ No questions under the experience tab and expand on your answers in your cover letter. Please note a cover letter is a required document and you will not be able to finalise your application until you have uploaded a cover letter. </w:t>
      </w:r>
    </w:p>
    <w:p w:rsidR="00DB402C" w:rsidRPr="00905B43" w:rsidRDefault="00DB402C" w:rsidP="00DB402C">
      <w:pPr>
        <w:pStyle w:val="Heading2"/>
        <w:rPr>
          <w:b w:val="0"/>
          <w:bCs w:val="0"/>
          <w:iCs w:val="0"/>
        </w:rPr>
      </w:pPr>
      <w:r w:rsidRPr="00905B43">
        <w:t xml:space="preserve">Q. Will you contact my referees, and how will you contact them?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A. Yes, we do contact your referees; please ensure their contact details are up to date. For external applicants we send a referee report template to the referee via email. Please nominate referees that you think will respond in a timely manner, and you may be asked to follow up on the progress of your referee report is not received before the panel meets. If you are a current Northern Territory Government employee, internal term reports </w:t>
      </w:r>
      <w:proofErr w:type="gramStart"/>
      <w:r w:rsidRPr="00905B43">
        <w:rPr>
          <w:rFonts w:ascii="Arial" w:hAnsi="Arial" w:cs="Arial"/>
          <w:sz w:val="22"/>
          <w:szCs w:val="22"/>
        </w:rPr>
        <w:t>will be accepted</w:t>
      </w:r>
      <w:proofErr w:type="gramEnd"/>
      <w:r w:rsidRPr="00905B43">
        <w:rPr>
          <w:rFonts w:ascii="Arial" w:hAnsi="Arial" w:cs="Arial"/>
          <w:sz w:val="22"/>
          <w:szCs w:val="22"/>
        </w:rPr>
        <w:t xml:space="preserve"> in lieu of a referee report. </w:t>
      </w:r>
    </w:p>
    <w:p w:rsidR="00DB402C" w:rsidRPr="00905B43" w:rsidRDefault="00DB402C" w:rsidP="00DB402C">
      <w:pPr>
        <w:pStyle w:val="Heading2"/>
        <w:rPr>
          <w:b w:val="0"/>
          <w:bCs w:val="0"/>
          <w:iCs w:val="0"/>
        </w:rPr>
      </w:pPr>
      <w:r w:rsidRPr="00905B43">
        <w:t xml:space="preserve">Q. Will you be conducting interviews?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A. Not in the first instance. The applications </w:t>
      </w:r>
      <w:proofErr w:type="gramStart"/>
      <w:r w:rsidRPr="00905B43">
        <w:rPr>
          <w:rFonts w:ascii="Arial" w:hAnsi="Arial" w:cs="Arial"/>
          <w:sz w:val="22"/>
          <w:szCs w:val="22"/>
        </w:rPr>
        <w:t>will be assessed</w:t>
      </w:r>
      <w:proofErr w:type="gramEnd"/>
      <w:r w:rsidRPr="00905B43">
        <w:rPr>
          <w:rFonts w:ascii="Arial" w:hAnsi="Arial" w:cs="Arial"/>
          <w:sz w:val="22"/>
          <w:szCs w:val="22"/>
        </w:rPr>
        <w:t xml:space="preserve"> from the information included in your cover letter, your resume and your referee reports. Some panels may wish to conduct interviews for further information. If this is the case, interviews </w:t>
      </w:r>
      <w:proofErr w:type="gramStart"/>
      <w:r w:rsidRPr="00905B43">
        <w:rPr>
          <w:rFonts w:ascii="Arial" w:hAnsi="Arial" w:cs="Arial"/>
          <w:sz w:val="22"/>
          <w:szCs w:val="22"/>
        </w:rPr>
        <w:t>will be scheduled</w:t>
      </w:r>
      <w:proofErr w:type="gramEnd"/>
      <w:r w:rsidRPr="00905B43">
        <w:rPr>
          <w:rFonts w:ascii="Arial" w:hAnsi="Arial" w:cs="Arial"/>
          <w:sz w:val="22"/>
          <w:szCs w:val="22"/>
        </w:rPr>
        <w:t xml:space="preserve"> in late August/ early September and you will be contacted to make a time. Please ensure your contact details are up to date. </w:t>
      </w:r>
    </w:p>
    <w:p w:rsidR="00DB402C" w:rsidRPr="00905B43" w:rsidRDefault="00DB402C" w:rsidP="00DB402C">
      <w:pPr>
        <w:pStyle w:val="Heading2"/>
        <w:rPr>
          <w:b w:val="0"/>
          <w:bCs w:val="0"/>
          <w:iCs w:val="0"/>
        </w:rPr>
      </w:pPr>
      <w:r w:rsidRPr="00905B43">
        <w:t xml:space="preserve">Q. I want a different length contract to the default </w:t>
      </w:r>
      <w:proofErr w:type="gramStart"/>
      <w:r w:rsidRPr="00905B43">
        <w:t>2 year</w:t>
      </w:r>
      <w:proofErr w:type="gramEnd"/>
      <w:r w:rsidRPr="00905B43">
        <w:t xml:space="preserve"> contract. Where do I specify this?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A. Please write the preferred length contract in the comments filed under the contract length question under the preferences tab. </w:t>
      </w:r>
    </w:p>
    <w:p w:rsidR="00DB402C" w:rsidRPr="00905B43" w:rsidRDefault="00DB402C" w:rsidP="00DB402C">
      <w:pPr>
        <w:pStyle w:val="Heading2"/>
        <w:rPr>
          <w:b w:val="0"/>
          <w:bCs w:val="0"/>
          <w:iCs w:val="0"/>
        </w:rPr>
      </w:pPr>
      <w:r w:rsidRPr="00905B43">
        <w:t xml:space="preserve">Q I wish to apply for an Anaesthetics position – how do I do this?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A. There are </w:t>
      </w:r>
      <w:proofErr w:type="gramStart"/>
      <w:r w:rsidRPr="00905B43">
        <w:rPr>
          <w:rFonts w:ascii="Arial" w:hAnsi="Arial" w:cs="Arial"/>
          <w:sz w:val="22"/>
          <w:szCs w:val="22"/>
        </w:rPr>
        <w:t>4</w:t>
      </w:r>
      <w:proofErr w:type="gramEnd"/>
      <w:r w:rsidRPr="00905B43">
        <w:rPr>
          <w:rFonts w:ascii="Arial" w:hAnsi="Arial" w:cs="Arial"/>
          <w:sz w:val="22"/>
          <w:szCs w:val="22"/>
        </w:rPr>
        <w:t xml:space="preserve"> RMO terms available in Anaesthetics for 2020. Two </w:t>
      </w:r>
      <w:proofErr w:type="gramStart"/>
      <w:r w:rsidRPr="00905B43">
        <w:rPr>
          <w:rFonts w:ascii="Arial" w:hAnsi="Arial" w:cs="Arial"/>
          <w:sz w:val="22"/>
          <w:szCs w:val="22"/>
        </w:rPr>
        <w:t>are listed</w:t>
      </w:r>
      <w:proofErr w:type="gramEnd"/>
      <w:r w:rsidRPr="00905B43">
        <w:rPr>
          <w:rFonts w:ascii="Arial" w:hAnsi="Arial" w:cs="Arial"/>
          <w:sz w:val="22"/>
          <w:szCs w:val="22"/>
        </w:rPr>
        <w:t xml:space="preserve"> under the critical care stream, one is listed under both the O&amp;G stream and the General Stream, and</w:t>
      </w:r>
      <w:r>
        <w:rPr>
          <w:rFonts w:ascii="Arial" w:hAnsi="Arial" w:cs="Arial"/>
          <w:sz w:val="22"/>
          <w:szCs w:val="22"/>
        </w:rPr>
        <w:t xml:space="preserve"> one is listed under the Rural S</w:t>
      </w:r>
      <w:r w:rsidRPr="00905B43">
        <w:rPr>
          <w:rFonts w:ascii="Arial" w:hAnsi="Arial" w:cs="Arial"/>
          <w:sz w:val="22"/>
          <w:szCs w:val="22"/>
        </w:rPr>
        <w:t xml:space="preserve">tream and the General Stream. You are able to preference up to </w:t>
      </w:r>
      <w:proofErr w:type="gramStart"/>
      <w:r w:rsidRPr="00905B43">
        <w:rPr>
          <w:rFonts w:ascii="Arial" w:hAnsi="Arial" w:cs="Arial"/>
          <w:sz w:val="22"/>
          <w:szCs w:val="22"/>
        </w:rPr>
        <w:t>3</w:t>
      </w:r>
      <w:proofErr w:type="gramEnd"/>
      <w:r w:rsidRPr="00905B43">
        <w:rPr>
          <w:rFonts w:ascii="Arial" w:hAnsi="Arial" w:cs="Arial"/>
          <w:sz w:val="22"/>
          <w:szCs w:val="22"/>
        </w:rPr>
        <w:t xml:space="preserve"> streams and the positions you prefer. If you have special circumstances around your anaesthetics preference, please state this in your cover letter. </w:t>
      </w:r>
    </w:p>
    <w:p w:rsidR="00DB402C" w:rsidRPr="00905B43" w:rsidRDefault="00DB402C" w:rsidP="00DB402C">
      <w:pPr>
        <w:pStyle w:val="Heading2"/>
        <w:rPr>
          <w:b w:val="0"/>
          <w:bCs w:val="0"/>
          <w:iCs w:val="0"/>
        </w:rPr>
      </w:pPr>
      <w:r w:rsidRPr="00905B43">
        <w:lastRenderedPageBreak/>
        <w:t xml:space="preserve">Q. I am interested in Basics Physician Training – what position do I apply for?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A. Please preference positions under the medical stream and outline your career path in your cover letter. </w:t>
      </w:r>
    </w:p>
    <w:p w:rsidR="00DB402C" w:rsidRPr="00905B43" w:rsidRDefault="00DB402C" w:rsidP="00DB402C">
      <w:pPr>
        <w:pStyle w:val="Heading2"/>
        <w:rPr>
          <w:b w:val="0"/>
          <w:bCs w:val="0"/>
          <w:iCs w:val="0"/>
        </w:rPr>
      </w:pPr>
      <w:r w:rsidRPr="00905B43">
        <w:t xml:space="preserve">Q. I wish to complete a certificate in Emergency Medicine – which positions do I apply for?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A. Please preference Double ED positions, with your combination of choice under the Critical Care stream. </w:t>
      </w:r>
    </w:p>
    <w:p w:rsidR="00DB402C" w:rsidRPr="00905B43" w:rsidRDefault="00DB402C" w:rsidP="00DB402C">
      <w:pPr>
        <w:pStyle w:val="Heading2"/>
        <w:rPr>
          <w:b w:val="0"/>
          <w:bCs w:val="0"/>
          <w:iCs w:val="0"/>
        </w:rPr>
      </w:pPr>
      <w:r w:rsidRPr="00905B43">
        <w:t xml:space="preserve">Q. How do I ensure that I </w:t>
      </w:r>
      <w:proofErr w:type="gramStart"/>
      <w:r w:rsidRPr="00905B43">
        <w:t>will be offered</w:t>
      </w:r>
      <w:proofErr w:type="gramEnd"/>
      <w:r w:rsidRPr="00905B43">
        <w:t xml:space="preserve"> a position with TEHS, even if my initial preferences are not granted?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A. Please ensure you select the “ANY” box to indicate this preference. </w:t>
      </w:r>
    </w:p>
    <w:p w:rsidR="00DB402C" w:rsidRPr="00905B43" w:rsidRDefault="00DB402C" w:rsidP="00DB402C">
      <w:pPr>
        <w:pStyle w:val="Heading2"/>
        <w:rPr>
          <w:b w:val="0"/>
          <w:bCs w:val="0"/>
          <w:iCs w:val="0"/>
        </w:rPr>
      </w:pPr>
      <w:r w:rsidRPr="00905B43">
        <w:t xml:space="preserve">Q. How do I indicate that I wish to apply for extended leave during the 2020 clinical year?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A. Extended leave </w:t>
      </w:r>
      <w:proofErr w:type="gramStart"/>
      <w:r w:rsidRPr="00905B43">
        <w:rPr>
          <w:rFonts w:ascii="Arial" w:hAnsi="Arial" w:cs="Arial"/>
          <w:sz w:val="22"/>
          <w:szCs w:val="22"/>
        </w:rPr>
        <w:t>can be requested</w:t>
      </w:r>
      <w:proofErr w:type="gramEnd"/>
      <w:r w:rsidRPr="00905B43">
        <w:rPr>
          <w:rFonts w:ascii="Arial" w:hAnsi="Arial" w:cs="Arial"/>
          <w:sz w:val="22"/>
          <w:szCs w:val="22"/>
        </w:rPr>
        <w:t xml:space="preserve"> for many reasons, including parental leave, extended study leave, extended recreation leave or other circumstance. Extended leave is considered </w:t>
      </w:r>
      <w:proofErr w:type="gramStart"/>
      <w:r w:rsidRPr="00905B43">
        <w:rPr>
          <w:rFonts w:ascii="Arial" w:hAnsi="Arial" w:cs="Arial"/>
          <w:sz w:val="22"/>
          <w:szCs w:val="22"/>
        </w:rPr>
        <w:t>to be any</w:t>
      </w:r>
      <w:proofErr w:type="gramEnd"/>
      <w:r w:rsidRPr="00905B43">
        <w:rPr>
          <w:rFonts w:ascii="Arial" w:hAnsi="Arial" w:cs="Arial"/>
          <w:sz w:val="22"/>
          <w:szCs w:val="22"/>
        </w:rPr>
        <w:t xml:space="preserve"> leave greater than 7 consecutive weeks. If any of these circumstances relate to you please specify these details in the question located under the experiences tab. This is for planning and final term allocation processes. </w:t>
      </w:r>
    </w:p>
    <w:p w:rsidR="00DB402C" w:rsidRPr="00905B43" w:rsidRDefault="00DB402C" w:rsidP="00DB402C">
      <w:pPr>
        <w:pStyle w:val="Heading2"/>
        <w:rPr>
          <w:b w:val="0"/>
          <w:bCs w:val="0"/>
          <w:iCs w:val="0"/>
        </w:rPr>
      </w:pPr>
      <w:r w:rsidRPr="00905B43">
        <w:t xml:space="preserve">Q. I still have questions, </w:t>
      </w:r>
      <w:proofErr w:type="gramStart"/>
      <w:r w:rsidRPr="00905B43">
        <w:t>who</w:t>
      </w:r>
      <w:proofErr w:type="gramEnd"/>
      <w:r w:rsidRPr="00905B43">
        <w:t xml:space="preserve"> do I contact? </w:t>
      </w:r>
    </w:p>
    <w:p w:rsidR="00DB402C" w:rsidRPr="00905B43" w:rsidRDefault="00DB402C" w:rsidP="00DB402C">
      <w:pPr>
        <w:pStyle w:val="Default"/>
        <w:rPr>
          <w:rFonts w:ascii="Arial" w:hAnsi="Arial" w:cs="Arial"/>
          <w:sz w:val="22"/>
          <w:szCs w:val="22"/>
        </w:rPr>
      </w:pPr>
      <w:r w:rsidRPr="00905B43">
        <w:rPr>
          <w:rFonts w:ascii="Arial" w:hAnsi="Arial" w:cs="Arial"/>
          <w:sz w:val="22"/>
          <w:szCs w:val="22"/>
        </w:rPr>
        <w:t xml:space="preserve">Please contact the JMO Workforce Manager, via email on </w:t>
      </w:r>
      <w:hyperlink r:id="rId8" w:history="1">
        <w:r w:rsidRPr="003C5E7B">
          <w:rPr>
            <w:rStyle w:val="Hyperlink"/>
            <w:rFonts w:ascii="Arial" w:hAnsi="Arial" w:cs="Arial"/>
            <w:sz w:val="22"/>
            <w:szCs w:val="22"/>
          </w:rPr>
          <w:t>RDHJMOWorkforce.DoH@nt.gov.au</w:t>
        </w:r>
      </w:hyperlink>
      <w:r>
        <w:rPr>
          <w:rFonts w:ascii="Arial" w:hAnsi="Arial" w:cs="Arial"/>
          <w:sz w:val="22"/>
          <w:szCs w:val="22"/>
        </w:rPr>
        <w:t xml:space="preserve"> </w:t>
      </w:r>
      <w:r w:rsidRPr="00905B43">
        <w:rPr>
          <w:rFonts w:ascii="Arial" w:hAnsi="Arial" w:cs="Arial"/>
          <w:sz w:val="22"/>
          <w:szCs w:val="22"/>
        </w:rPr>
        <w:t>and we will aim to respond to your query within two (2) business days.</w:t>
      </w:r>
    </w:p>
    <w:p w:rsidR="00097865" w:rsidRPr="00DB402C" w:rsidRDefault="00097865" w:rsidP="00DB402C"/>
    <w:sectPr w:rsidR="00097865" w:rsidRPr="00DB402C" w:rsidSect="00705C9D">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5D" w:rsidRDefault="0039145D" w:rsidP="007332FF">
      <w:r>
        <w:separator/>
      </w:r>
    </w:p>
  </w:endnote>
  <w:endnote w:type="continuationSeparator" w:id="0">
    <w:p w:rsidR="0039145D" w:rsidRDefault="0039145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85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401"/>
      <w:gridCol w:w="1939"/>
    </w:tblGrid>
    <w:tr w:rsidR="00983000" w:rsidRPr="00132658" w:rsidTr="0043465D">
      <w:trPr>
        <w:cantSplit/>
        <w:trHeight w:hRule="exact" w:val="1400"/>
        <w:tblHeader/>
      </w:trPr>
      <w:tc>
        <w:tcPr>
          <w:tcW w:w="8931" w:type="dxa"/>
          <w:vAlign w:val="center"/>
        </w:tcPr>
        <w:p w:rsidR="00983000" w:rsidRPr="00705C9D" w:rsidRDefault="00983000" w:rsidP="00B11C67">
          <w:pPr>
            <w:pStyle w:val="NTGFooter1items"/>
            <w:rPr>
              <w:rStyle w:val="NTGFooterDepartmentNameChar"/>
            </w:rPr>
          </w:pPr>
          <w:r>
            <w:rPr>
              <w:rStyle w:val="NTGFooterDepartmentofChar"/>
            </w:rPr>
            <w:t>DEPARTMENT OF</w:t>
          </w:r>
          <w:r w:rsidR="00DB402C">
            <w:rPr>
              <w:rStyle w:val="NTGFooterDepartmentofChar"/>
            </w:rPr>
            <w:t xml:space="preserve"> </w:t>
          </w:r>
          <w:r w:rsidR="00DB402C">
            <w:rPr>
              <w:rStyle w:val="NTGFooterDepartmentNameChar"/>
            </w:rPr>
            <w:t>Health</w:t>
          </w:r>
        </w:p>
        <w:p w:rsidR="00983000" w:rsidRPr="007B5DA2" w:rsidRDefault="00DB402C" w:rsidP="000E342B">
          <w:pPr>
            <w:pStyle w:val="NTGFooter1items"/>
          </w:pPr>
          <w:r>
            <w:rPr>
              <w:rStyle w:val="NTGFooter1itemsChar"/>
            </w:rPr>
            <w:t>June 2019</w:t>
          </w:r>
        </w:p>
      </w:tc>
      <w:tc>
        <w:tcPr>
          <w:tcW w:w="1842"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6D2729">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6D2729">
            <w:rPr>
              <w:noProof/>
              <w:sz w:val="20"/>
            </w:rPr>
            <w:t>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85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210"/>
      <w:gridCol w:w="2130"/>
    </w:tblGrid>
    <w:tr w:rsidR="00983000" w:rsidRPr="00132658" w:rsidTr="0043465D">
      <w:trPr>
        <w:cantSplit/>
        <w:trHeight w:hRule="exact" w:val="1400"/>
        <w:tblHeader/>
      </w:trPr>
      <w:tc>
        <w:tcPr>
          <w:tcW w:w="9210"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DB402C">
            <w:rPr>
              <w:rStyle w:val="NTGFooterDepartmentofChar"/>
              <w:rFonts w:ascii="Arial Black" w:hAnsi="Arial Black"/>
            </w:rPr>
            <w:t>Health</w:t>
          </w:r>
        </w:p>
        <w:p w:rsidR="00983000" w:rsidRPr="007B5DA2" w:rsidRDefault="00983000" w:rsidP="00DB402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6D2729">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6D2729">
            <w:rPr>
              <w:noProof/>
            </w:rPr>
            <w:t>2</w:t>
          </w:r>
          <w:r w:rsidR="00DB6D0A">
            <w:rPr>
              <w:noProof/>
            </w:rPr>
            <w:fldChar w:fldCharType="end"/>
          </w:r>
          <w:r w:rsidRPr="007B5DA2">
            <w:tab/>
          </w:r>
          <w:r w:rsidR="00DB402C">
            <w:rPr>
              <w:rStyle w:val="NTGFooter1itemsChar"/>
            </w:rPr>
            <w:t>June 2019</w:t>
          </w:r>
        </w:p>
      </w:tc>
      <w:tc>
        <w:tcPr>
          <w:tcW w:w="2130"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5D" w:rsidRDefault="0039145D" w:rsidP="007332FF">
      <w:r>
        <w:separator/>
      </w:r>
    </w:p>
  </w:footnote>
  <w:footnote w:type="continuationSeparator" w:id="0">
    <w:p w:rsidR="0039145D" w:rsidRDefault="0039145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DB402C" w:rsidP="002926BC">
        <w:pPr>
          <w:pStyle w:val="Header"/>
          <w:tabs>
            <w:tab w:val="clear" w:pos="9026"/>
          </w:tabs>
          <w:ind w:right="-568"/>
        </w:pPr>
        <w:r>
          <w:t>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DB402C" w:rsidP="0050530C">
        <w:pPr>
          <w:pStyle w:val="Title"/>
        </w:pPr>
        <w:r>
          <w:t>Frequently Asked Questions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2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8713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145D"/>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4093"/>
    <w:rsid w:val="006670D7"/>
    <w:rsid w:val="006719EA"/>
    <w:rsid w:val="00671F13"/>
    <w:rsid w:val="0067400A"/>
    <w:rsid w:val="006847AD"/>
    <w:rsid w:val="0069114B"/>
    <w:rsid w:val="006944C1"/>
    <w:rsid w:val="006A756A"/>
    <w:rsid w:val="006D2729"/>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02C"/>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61BA2"/>
    <w:rsid w:val="00E63864"/>
    <w:rsid w:val="00E6403F"/>
    <w:rsid w:val="00E75451"/>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429F2"/>
  <w15:docId w15:val="{9804238E-98FC-4A92-9B21-0CEB4064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paragraph" w:customStyle="1" w:styleId="Default">
    <w:name w:val="Default"/>
    <w:rsid w:val="00DB402C"/>
    <w:pPr>
      <w:autoSpaceDE w:val="0"/>
      <w:autoSpaceDN w:val="0"/>
      <w:adjustRightInd w:val="0"/>
      <w:spacing w:after="0"/>
    </w:pPr>
    <w:rPr>
      <w:rFonts w:ascii="Calibri" w:eastAsiaTheme="minorHAnsi" w:hAnsi="Calibri" w:cs="Calibri"/>
      <w:color w:val="000000"/>
      <w:sz w:val="24"/>
      <w:szCs w:val="24"/>
    </w:rPr>
  </w:style>
  <w:style w:type="paragraph" w:customStyle="1" w:styleId="Style1">
    <w:name w:val="Style1"/>
    <w:basedOn w:val="Heading1"/>
    <w:link w:val="Style1Char"/>
    <w:qFormat/>
    <w:rsid w:val="00DB402C"/>
  </w:style>
  <w:style w:type="character" w:customStyle="1" w:styleId="Style1Char">
    <w:name w:val="Style1 Char"/>
    <w:basedOn w:val="Heading1Char"/>
    <w:link w:val="Style1"/>
    <w:rsid w:val="00DB402C"/>
    <w:rPr>
      <w:rFonts w:eastAsiaTheme="majorEastAsia"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HJMOWorkforce.DoH@n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General%20portrait.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EBE8-399A-4737-AD86-1FFE8547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portrait.dotx</Template>
  <TotalTime>4</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Northern Territory Government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Amiel Grigg</dc:creator>
  <cp:lastModifiedBy>Amiel Grigg</cp:lastModifiedBy>
  <cp:revision>2</cp:revision>
  <cp:lastPrinted>2016-02-04T04:37:00Z</cp:lastPrinted>
  <dcterms:created xsi:type="dcterms:W3CDTF">2019-06-21T01:19:00Z</dcterms:created>
  <dcterms:modified xsi:type="dcterms:W3CDTF">2019-06-24T01:25:00Z</dcterms:modified>
</cp:coreProperties>
</file>