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2D5D77" w14:paraId="250A3FC8" w14:textId="77777777" w:rsidTr="00A85348">
        <w:tc>
          <w:tcPr>
            <w:tcW w:w="9242" w:type="dxa"/>
          </w:tcPr>
          <w:p w14:paraId="69725624" w14:textId="77777777" w:rsidR="002D5D77" w:rsidRPr="00421DA0" w:rsidRDefault="002D5D77" w:rsidP="00A85348">
            <w:pPr>
              <w:pStyle w:val="Default"/>
              <w:jc w:val="center"/>
              <w:rPr>
                <w:b/>
                <w:bCs/>
                <w:color w:val="E36C0A" w:themeColor="accent6" w:themeShade="BF"/>
                <w:sz w:val="30"/>
                <w:szCs w:val="30"/>
              </w:rPr>
            </w:pPr>
            <w:r w:rsidRPr="00421DA0">
              <w:rPr>
                <w:b/>
                <w:bCs/>
                <w:color w:val="E36C0A" w:themeColor="accent6" w:themeShade="BF"/>
                <w:sz w:val="30"/>
                <w:szCs w:val="30"/>
              </w:rPr>
              <w:t>PHARMACY PREMISES COMMITTEE OF THE NORTHERN TERRITORY</w:t>
            </w:r>
          </w:p>
          <w:p w14:paraId="625F842F" w14:textId="77777777" w:rsidR="002D5D77" w:rsidRPr="00421DA0" w:rsidRDefault="002D5D77" w:rsidP="00A85348">
            <w:pPr>
              <w:pStyle w:val="Default"/>
              <w:jc w:val="center"/>
              <w:rPr>
                <w:b/>
                <w:bCs/>
                <w:color w:val="E36C0A" w:themeColor="accent6" w:themeShade="BF"/>
                <w:sz w:val="14"/>
                <w:szCs w:val="14"/>
              </w:rPr>
            </w:pPr>
          </w:p>
          <w:p w14:paraId="055EE881" w14:textId="3EFE8431" w:rsidR="002D5D77" w:rsidRDefault="002D5D77" w:rsidP="002D5D77">
            <w:pPr>
              <w:pStyle w:val="Default"/>
              <w:jc w:val="center"/>
            </w:pPr>
            <w:r w:rsidRPr="00421DA0">
              <w:rPr>
                <w:b/>
                <w:bCs/>
                <w:color w:val="E36C0A" w:themeColor="accent6" w:themeShade="BF"/>
                <w:sz w:val="30"/>
                <w:szCs w:val="30"/>
              </w:rPr>
              <w:t>PG</w:t>
            </w:r>
            <w:r>
              <w:rPr>
                <w:b/>
                <w:bCs/>
                <w:color w:val="E36C0A" w:themeColor="accent6" w:themeShade="BF"/>
                <w:sz w:val="30"/>
                <w:szCs w:val="30"/>
              </w:rPr>
              <w:t>5:</w:t>
            </w:r>
            <w:r w:rsidRPr="00421DA0">
              <w:rPr>
                <w:b/>
                <w:bCs/>
                <w:color w:val="E36C0A" w:themeColor="accent6" w:themeShade="BF"/>
                <w:sz w:val="30"/>
                <w:szCs w:val="30"/>
              </w:rPr>
              <w:t xml:space="preserve"> </w:t>
            </w:r>
            <w:r>
              <w:rPr>
                <w:b/>
                <w:bCs/>
                <w:color w:val="E36C0A" w:themeColor="accent6" w:themeShade="BF"/>
                <w:sz w:val="30"/>
                <w:szCs w:val="30"/>
              </w:rPr>
              <w:t>NT GUIDANCE - LEASES</w:t>
            </w:r>
          </w:p>
        </w:tc>
      </w:tr>
    </w:tbl>
    <w:p w14:paraId="680A3FB3" w14:textId="77777777" w:rsidR="00CD64A7" w:rsidRDefault="00CD64A7" w:rsidP="002D5D77">
      <w:pPr>
        <w:pStyle w:val="BodyText"/>
        <w:ind w:left="100" w:right="232" w:hanging="1"/>
      </w:pPr>
    </w:p>
    <w:p w14:paraId="2E4819DC" w14:textId="31AA2996" w:rsidR="00854EFF" w:rsidRDefault="009901CC" w:rsidP="002D5D77">
      <w:pPr>
        <w:pStyle w:val="BodyText"/>
        <w:ind w:left="100" w:right="232" w:hanging="1"/>
      </w:pPr>
      <w:r>
        <w:t xml:space="preserve">Throughout this guidance we will be referring to leases. However, this guidance also applies to all documents which give a pharmacy business the right to occupy premises (this includes leases, sub-leases and licences to occupy). All such documents must be compliant with the Act and must be submitted to the </w:t>
      </w:r>
      <w:r w:rsidR="00492760">
        <w:t xml:space="preserve">Pharmacy Committee </w:t>
      </w:r>
      <w:r>
        <w:t>for review.</w:t>
      </w:r>
    </w:p>
    <w:p w14:paraId="1F14CBB7" w14:textId="77777777" w:rsidR="00854EFF" w:rsidRDefault="00854EFF" w:rsidP="002D5D77">
      <w:pPr>
        <w:pStyle w:val="BodyText"/>
        <w:spacing w:before="3"/>
        <w:ind w:left="100" w:hanging="1"/>
        <w:rPr>
          <w:sz w:val="23"/>
        </w:rPr>
      </w:pPr>
    </w:p>
    <w:p w14:paraId="7BD7E732" w14:textId="4EF6CF72" w:rsidR="00854EFF" w:rsidRDefault="009901CC" w:rsidP="002D5D77">
      <w:pPr>
        <w:ind w:left="100" w:hanging="1"/>
      </w:pPr>
      <w:r>
        <w:t xml:space="preserve">The </w:t>
      </w:r>
      <w:r w:rsidR="00E4170E">
        <w:rPr>
          <w:i/>
        </w:rPr>
        <w:t>Health Practitioners Act</w:t>
      </w:r>
      <w:r>
        <w:rPr>
          <w:i/>
        </w:rPr>
        <w:t xml:space="preserve"> </w:t>
      </w:r>
      <w:r w:rsidR="00F44410" w:rsidRPr="00675999">
        <w:rPr>
          <w:i/>
        </w:rPr>
        <w:t xml:space="preserve">2004 </w:t>
      </w:r>
      <w:r w:rsidRPr="00675999">
        <w:t>(</w:t>
      </w:r>
      <w:r w:rsidRPr="00675999">
        <w:rPr>
          <w:b/>
        </w:rPr>
        <w:t>the</w:t>
      </w:r>
      <w:r>
        <w:rPr>
          <w:b/>
        </w:rPr>
        <w:t xml:space="preserve"> Act</w:t>
      </w:r>
      <w:r>
        <w:t>) places restrictions on who can control or influence the way in which a pharmacy business is carried on.</w:t>
      </w:r>
    </w:p>
    <w:p w14:paraId="24CD6074" w14:textId="77777777" w:rsidR="00854EFF" w:rsidRDefault="00854EFF" w:rsidP="002D5D77">
      <w:pPr>
        <w:pStyle w:val="BodyText"/>
        <w:ind w:left="100" w:hanging="1"/>
        <w:rPr>
          <w:sz w:val="23"/>
        </w:rPr>
      </w:pPr>
    </w:p>
    <w:p w14:paraId="4F80D51F" w14:textId="4259FF5A" w:rsidR="00613FF6" w:rsidRPr="00F2694F" w:rsidRDefault="00613FF6" w:rsidP="00CD64A7">
      <w:pPr>
        <w:ind w:left="100" w:hanging="1"/>
      </w:pPr>
      <w:r>
        <w:t>Most relevant for leases,</w:t>
      </w:r>
      <w:r w:rsidRPr="000C1B76">
        <w:t xml:space="preserve"> Schedule 7 clause 2 of the Act in effect makes void any provision of a commercial arrangement that gives any person other than an authorised pharmacy business owner</w:t>
      </w:r>
      <w:r w:rsidR="002D5D77">
        <w:t xml:space="preserve"> t</w:t>
      </w:r>
      <w:r w:rsidRPr="000C1B76">
        <w:t xml:space="preserve">he right to </w:t>
      </w:r>
      <w:r>
        <w:t xml:space="preserve">exercise </w:t>
      </w:r>
      <w:r w:rsidRPr="00173C16">
        <w:rPr>
          <w:b/>
        </w:rPr>
        <w:t>any</w:t>
      </w:r>
      <w:r>
        <w:t xml:space="preserve"> </w:t>
      </w:r>
      <w:r w:rsidRPr="000C1B76">
        <w:t xml:space="preserve">control </w:t>
      </w:r>
      <w:r>
        <w:t xml:space="preserve">over the conduct of a </w:t>
      </w:r>
      <w:r w:rsidRPr="000C1B76">
        <w:t>pharmacy business</w:t>
      </w:r>
      <w:r>
        <w:t>.</w:t>
      </w:r>
      <w:r w:rsidRPr="000C1B76">
        <w:t xml:space="preserve"> </w:t>
      </w:r>
      <w:r w:rsidRPr="00F2694F">
        <w:t xml:space="preserve">This </w:t>
      </w:r>
      <w:r w:rsidR="007A3E0C" w:rsidRPr="00F2694F">
        <w:t>may</w:t>
      </w:r>
      <w:r w:rsidRPr="00F2694F">
        <w:t xml:space="preserve"> include, for example;</w:t>
      </w:r>
    </w:p>
    <w:p w14:paraId="7C2168F6" w14:textId="77777777" w:rsidR="00613FF6" w:rsidRPr="000C1B76" w:rsidRDefault="00613FF6" w:rsidP="002D5D77">
      <w:pPr>
        <w:numPr>
          <w:ilvl w:val="1"/>
          <w:numId w:val="3"/>
        </w:numPr>
        <w:tabs>
          <w:tab w:val="left" w:pos="821"/>
        </w:tabs>
        <w:ind w:left="1418" w:right="209" w:hanging="709"/>
      </w:pPr>
      <w:r w:rsidRPr="000C1B76">
        <w:t xml:space="preserve">the right to access books of accounts or records kept in respect of that business, otherwise than for the purpose of determining whether or not the conditions of </w:t>
      </w:r>
      <w:r>
        <w:t>a</w:t>
      </w:r>
      <w:r w:rsidRPr="000C1B76">
        <w:t xml:space="preserve"> relevant document are being complied with;</w:t>
      </w:r>
      <w:r w:rsidRPr="000C1B76">
        <w:rPr>
          <w:spacing w:val="5"/>
        </w:rPr>
        <w:t xml:space="preserve"> </w:t>
      </w:r>
      <w:r w:rsidRPr="000C1B76">
        <w:t>or</w:t>
      </w:r>
    </w:p>
    <w:p w14:paraId="28C49E61" w14:textId="77777777" w:rsidR="00613FF6" w:rsidRPr="000C1B76" w:rsidRDefault="00613FF6" w:rsidP="002D5D77">
      <w:pPr>
        <w:tabs>
          <w:tab w:val="left" w:pos="567"/>
          <w:tab w:val="left" w:pos="1701"/>
        </w:tabs>
        <w:spacing w:before="8"/>
        <w:ind w:left="1418" w:hanging="709"/>
        <w:rPr>
          <w:sz w:val="23"/>
        </w:rPr>
      </w:pPr>
    </w:p>
    <w:p w14:paraId="19FCB034" w14:textId="02823B9A" w:rsidR="00613FF6" w:rsidRPr="000C1B76" w:rsidRDefault="00613FF6" w:rsidP="002D5D77">
      <w:pPr>
        <w:numPr>
          <w:ilvl w:val="1"/>
          <w:numId w:val="3"/>
        </w:numPr>
        <w:tabs>
          <w:tab w:val="left" w:pos="567"/>
          <w:tab w:val="left" w:pos="821"/>
          <w:tab w:val="left" w:pos="1701"/>
        </w:tabs>
        <w:spacing w:before="1"/>
        <w:ind w:left="1418" w:right="213" w:hanging="709"/>
      </w:pPr>
      <w:r w:rsidRPr="000C1B76">
        <w:t>the right to receive any consideration that varies according to the profits or takings of the</w:t>
      </w:r>
      <w:r w:rsidRPr="000C1B76">
        <w:rPr>
          <w:spacing w:val="-1"/>
        </w:rPr>
        <w:t xml:space="preserve"> </w:t>
      </w:r>
      <w:r w:rsidRPr="000C1B76">
        <w:t>business.</w:t>
      </w:r>
    </w:p>
    <w:p w14:paraId="0E0080E1" w14:textId="77777777" w:rsidR="00613FF6" w:rsidRPr="000C1B76" w:rsidRDefault="00613FF6" w:rsidP="002D5D77">
      <w:pPr>
        <w:tabs>
          <w:tab w:val="left" w:pos="567"/>
          <w:tab w:val="left" w:pos="1701"/>
        </w:tabs>
        <w:ind w:left="100" w:right="209" w:hanging="1"/>
        <w:jc w:val="both"/>
      </w:pPr>
    </w:p>
    <w:p w14:paraId="445CDDE0" w14:textId="77777777" w:rsidR="00613FF6" w:rsidRPr="000C1B76" w:rsidRDefault="00613FF6" w:rsidP="002D5D77">
      <w:pPr>
        <w:tabs>
          <w:tab w:val="left" w:pos="567"/>
          <w:tab w:val="left" w:pos="821"/>
          <w:tab w:val="left" w:pos="1701"/>
        </w:tabs>
        <w:spacing w:before="1"/>
        <w:ind w:left="100" w:right="213" w:hanging="1"/>
      </w:pPr>
      <w:r w:rsidRPr="000C1B76">
        <w:t>Further, clause 11 of Schedule 7 of the Act makes it an offence for anyone to directly or indirectly attempt to coerce or otherwise cause a pharmacist to engage in conduct that contravenes the Act.</w:t>
      </w:r>
    </w:p>
    <w:p w14:paraId="28462102" w14:textId="77777777" w:rsidR="00854EFF" w:rsidRDefault="009901CC" w:rsidP="002D5D77">
      <w:pPr>
        <w:pStyle w:val="BodyText"/>
        <w:ind w:left="100" w:hanging="1"/>
      </w:pPr>
      <w:r>
        <w:t>When negotiating and entering into a lease, pharmacy business licensees should be wary of certain clauses which are common in many retail leases for non-pharmacy businesses.</w:t>
      </w:r>
    </w:p>
    <w:p w14:paraId="256D0C6A" w14:textId="77777777" w:rsidR="00854EFF" w:rsidRDefault="00854EFF" w:rsidP="002D5D77">
      <w:pPr>
        <w:pStyle w:val="BodyText"/>
        <w:ind w:left="100" w:hanging="1"/>
        <w:rPr>
          <w:sz w:val="23"/>
        </w:rPr>
      </w:pPr>
    </w:p>
    <w:p w14:paraId="63820B4F" w14:textId="77777777" w:rsidR="00854EFF" w:rsidRDefault="009901CC" w:rsidP="002D5D77">
      <w:pPr>
        <w:pStyle w:val="BodyText"/>
        <w:ind w:left="100" w:hanging="1"/>
      </w:pPr>
      <w:r>
        <w:t>In particular, pharmacists are urged to be wary of clauses in lease agreements that:</w:t>
      </w:r>
    </w:p>
    <w:p w14:paraId="767E66C6" w14:textId="77777777" w:rsidR="00854EFF" w:rsidRDefault="009901CC" w:rsidP="002D5D77">
      <w:pPr>
        <w:pStyle w:val="ListParagraph"/>
        <w:numPr>
          <w:ilvl w:val="0"/>
          <w:numId w:val="1"/>
        </w:numPr>
        <w:tabs>
          <w:tab w:val="left" w:pos="861"/>
          <w:tab w:val="left" w:pos="862"/>
        </w:tabs>
        <w:ind w:left="1418" w:hanging="567"/>
        <w:jc w:val="left"/>
      </w:pPr>
      <w:r>
        <w:t>allow the landlord to dictate the way in which the business is</w:t>
      </w:r>
      <w:r>
        <w:rPr>
          <w:spacing w:val="-17"/>
        </w:rPr>
        <w:t xml:space="preserve"> </w:t>
      </w:r>
      <w:r>
        <w:t>operated;</w:t>
      </w:r>
    </w:p>
    <w:p w14:paraId="6A39BA0E" w14:textId="77777777" w:rsidR="00854EFF" w:rsidRDefault="00854EFF" w:rsidP="002D5D77">
      <w:pPr>
        <w:pStyle w:val="BodyText"/>
        <w:ind w:left="1418" w:hanging="567"/>
      </w:pPr>
    </w:p>
    <w:p w14:paraId="43A39C4D" w14:textId="77777777" w:rsidR="00854EFF" w:rsidRDefault="009901CC" w:rsidP="002D5D77">
      <w:pPr>
        <w:pStyle w:val="ListParagraph"/>
        <w:numPr>
          <w:ilvl w:val="0"/>
          <w:numId w:val="1"/>
        </w:numPr>
        <w:tabs>
          <w:tab w:val="left" w:pos="863"/>
        </w:tabs>
        <w:spacing w:line="237" w:lineRule="auto"/>
        <w:ind w:left="1418" w:right="209" w:hanging="567"/>
        <w:jc w:val="left"/>
      </w:pPr>
      <w:r>
        <w:t>provide that the rent payable increases or decreases in accordance with the profits of the business (for example, rent that is a base amount plus a % of</w:t>
      </w:r>
      <w:r>
        <w:rPr>
          <w:spacing w:val="-18"/>
        </w:rPr>
        <w:t xml:space="preserve"> </w:t>
      </w:r>
      <w:r>
        <w:t>profits);</w:t>
      </w:r>
    </w:p>
    <w:p w14:paraId="76B0216B" w14:textId="77777777" w:rsidR="00854EFF" w:rsidRDefault="00854EFF" w:rsidP="002D5D77">
      <w:pPr>
        <w:pStyle w:val="BodyText"/>
        <w:ind w:left="1418" w:hanging="567"/>
      </w:pPr>
    </w:p>
    <w:p w14:paraId="5DFEF1D7" w14:textId="77777777" w:rsidR="00854EFF" w:rsidRDefault="009901CC" w:rsidP="002D5D77">
      <w:pPr>
        <w:pStyle w:val="ListParagraph"/>
        <w:numPr>
          <w:ilvl w:val="0"/>
          <w:numId w:val="1"/>
        </w:numPr>
        <w:tabs>
          <w:tab w:val="left" w:pos="863"/>
        </w:tabs>
        <w:ind w:left="1418" w:right="208" w:hanging="567"/>
        <w:jc w:val="left"/>
      </w:pPr>
      <w:r>
        <w:t>provide that amounts contributed by the pharmacy business to such things as shopping centre marketing funds or building service providers are calculated by reference to the profit of the</w:t>
      </w:r>
      <w:r>
        <w:rPr>
          <w:spacing w:val="-4"/>
        </w:rPr>
        <w:t xml:space="preserve"> </w:t>
      </w:r>
      <w:r>
        <w:t>business;</w:t>
      </w:r>
    </w:p>
    <w:p w14:paraId="1890BB92" w14:textId="77777777" w:rsidR="00854EFF" w:rsidRDefault="00854EFF" w:rsidP="002D5D77">
      <w:pPr>
        <w:pStyle w:val="BodyText"/>
        <w:ind w:left="1418" w:hanging="567"/>
      </w:pPr>
      <w:bookmarkStart w:id="0" w:name="_GoBack"/>
      <w:bookmarkEnd w:id="0"/>
    </w:p>
    <w:p w14:paraId="03788A30" w14:textId="77777777" w:rsidR="00854EFF" w:rsidRDefault="009901CC" w:rsidP="002D5D77">
      <w:pPr>
        <w:pStyle w:val="ListParagraph"/>
        <w:numPr>
          <w:ilvl w:val="0"/>
          <w:numId w:val="1"/>
        </w:numPr>
        <w:tabs>
          <w:tab w:val="left" w:pos="861"/>
        </w:tabs>
        <w:ind w:left="1418" w:right="211" w:hanging="567"/>
        <w:jc w:val="left"/>
      </w:pPr>
      <w:r>
        <w:t xml:space="preserve">dictate that the pharmacy business </w:t>
      </w:r>
      <w:r>
        <w:rPr>
          <w:u w:val="single"/>
        </w:rPr>
        <w:t>must</w:t>
      </w:r>
      <w:r>
        <w:t xml:space="preserve"> provide the landlord with financial reports or audits (extending beyond that required to allow the landlord to ascertain whether the terms of the lease are being complied with - for example, showing the landlord that the pharmacy business is</w:t>
      </w:r>
      <w:r>
        <w:rPr>
          <w:spacing w:val="-4"/>
        </w:rPr>
        <w:t xml:space="preserve"> </w:t>
      </w:r>
      <w:r>
        <w:t>solvent).</w:t>
      </w:r>
    </w:p>
    <w:p w14:paraId="425A051D" w14:textId="77777777" w:rsidR="00854EFF" w:rsidRDefault="00854EFF" w:rsidP="002D5D77">
      <w:pPr>
        <w:pStyle w:val="BodyText"/>
        <w:spacing w:before="9"/>
        <w:ind w:left="1418" w:hanging="567"/>
        <w:rPr>
          <w:sz w:val="21"/>
        </w:rPr>
      </w:pPr>
    </w:p>
    <w:p w14:paraId="128313C9" w14:textId="77777777" w:rsidR="00854EFF" w:rsidRDefault="009901CC" w:rsidP="002D5D77">
      <w:pPr>
        <w:pStyle w:val="ListParagraph"/>
        <w:numPr>
          <w:ilvl w:val="0"/>
          <w:numId w:val="1"/>
        </w:numPr>
        <w:tabs>
          <w:tab w:val="left" w:pos="862"/>
        </w:tabs>
        <w:ind w:left="1418" w:right="211" w:hanging="567"/>
        <w:jc w:val="left"/>
      </w:pPr>
      <w:r>
        <w:t>give the landlord a right to review or access the businesses records and accounts (extending beyond that required to allow the landlord to ascertain whether the terms of the lease are being complied with - for example whether the pharmacy business has been operating during the trading hours required by the</w:t>
      </w:r>
      <w:r>
        <w:rPr>
          <w:spacing w:val="-14"/>
        </w:rPr>
        <w:t xml:space="preserve"> </w:t>
      </w:r>
      <w:r>
        <w:t>lease).</w:t>
      </w:r>
    </w:p>
    <w:p w14:paraId="499ACF39" w14:textId="77777777" w:rsidR="00854EFF" w:rsidRDefault="00854EFF" w:rsidP="002D5D77">
      <w:pPr>
        <w:ind w:left="100" w:hanging="1"/>
        <w:jc w:val="both"/>
        <w:sectPr w:rsidR="00854EFF" w:rsidSect="00CD64A7">
          <w:headerReference w:type="default" r:id="rId8"/>
          <w:footerReference w:type="default" r:id="rId9"/>
          <w:type w:val="continuous"/>
          <w:pgSz w:w="11920" w:h="16850"/>
          <w:pgMar w:top="1440" w:right="1288" w:bottom="1200" w:left="1340" w:header="720" w:footer="1014" w:gutter="0"/>
          <w:pgNumType w:start="1"/>
          <w:cols w:space="720"/>
        </w:sectPr>
      </w:pPr>
    </w:p>
    <w:p w14:paraId="530CA94E" w14:textId="77777777" w:rsidR="00854EFF" w:rsidRDefault="009901CC" w:rsidP="002D5D77">
      <w:pPr>
        <w:pStyle w:val="BodyText"/>
        <w:spacing w:before="91"/>
        <w:ind w:left="100" w:right="211" w:hanging="1"/>
        <w:jc w:val="both"/>
      </w:pPr>
      <w:r>
        <w:lastRenderedPageBreak/>
        <w:t>The following checklist will assist with the preparation and negotiation of leases (and other agreements for the occupation of premises). If you answer “yes” to any question in the list, we recommend that you seek legal advice before entering into the lease:</w:t>
      </w:r>
    </w:p>
    <w:p w14:paraId="27C7E8E2" w14:textId="77777777" w:rsidR="00854EFF" w:rsidRDefault="00854EFF">
      <w:pPr>
        <w:pStyle w:val="BodyText"/>
        <w:spacing w:before="1"/>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7"/>
        <w:gridCol w:w="1135"/>
        <w:gridCol w:w="1140"/>
      </w:tblGrid>
      <w:tr w:rsidR="00854EFF" w14:paraId="13230272" w14:textId="77777777">
        <w:trPr>
          <w:trHeight w:val="340"/>
        </w:trPr>
        <w:tc>
          <w:tcPr>
            <w:tcW w:w="6247" w:type="dxa"/>
          </w:tcPr>
          <w:p w14:paraId="3B3DEDE2" w14:textId="77777777" w:rsidR="00854EFF" w:rsidRDefault="009901CC">
            <w:pPr>
              <w:pStyle w:val="TableParagraph"/>
              <w:spacing w:before="40"/>
              <w:ind w:left="107"/>
              <w:rPr>
                <w:b/>
              </w:rPr>
            </w:pPr>
            <w:r>
              <w:rPr>
                <w:b/>
              </w:rPr>
              <w:t>Lease undue influence indicator checklist</w:t>
            </w:r>
          </w:p>
        </w:tc>
        <w:tc>
          <w:tcPr>
            <w:tcW w:w="1135" w:type="dxa"/>
          </w:tcPr>
          <w:p w14:paraId="51DBD164" w14:textId="77777777" w:rsidR="00854EFF" w:rsidRDefault="009901CC">
            <w:pPr>
              <w:pStyle w:val="TableParagraph"/>
              <w:spacing w:before="40"/>
              <w:ind w:left="399" w:right="392"/>
              <w:jc w:val="center"/>
              <w:rPr>
                <w:b/>
              </w:rPr>
            </w:pPr>
            <w:r>
              <w:rPr>
                <w:b/>
              </w:rPr>
              <w:t>No</w:t>
            </w:r>
          </w:p>
        </w:tc>
        <w:tc>
          <w:tcPr>
            <w:tcW w:w="1140" w:type="dxa"/>
          </w:tcPr>
          <w:p w14:paraId="78FCBE72" w14:textId="77777777" w:rsidR="00854EFF" w:rsidRDefault="009901CC">
            <w:pPr>
              <w:pStyle w:val="TableParagraph"/>
              <w:spacing w:before="40"/>
              <w:ind w:left="374"/>
              <w:rPr>
                <w:b/>
              </w:rPr>
            </w:pPr>
            <w:r>
              <w:rPr>
                <w:b/>
              </w:rPr>
              <w:t>Yes</w:t>
            </w:r>
          </w:p>
        </w:tc>
      </w:tr>
      <w:tr w:rsidR="00854EFF" w14:paraId="430C10E9" w14:textId="77777777">
        <w:trPr>
          <w:trHeight w:val="1324"/>
        </w:trPr>
        <w:tc>
          <w:tcPr>
            <w:tcW w:w="6247" w:type="dxa"/>
          </w:tcPr>
          <w:p w14:paraId="41217999" w14:textId="77777777" w:rsidR="00854EFF" w:rsidRDefault="009901CC">
            <w:pPr>
              <w:pStyle w:val="TableParagraph"/>
              <w:spacing w:before="4" w:line="252" w:lineRule="auto"/>
              <w:ind w:left="155" w:right="94"/>
            </w:pPr>
            <w:r>
              <w:t>Does the lease provide that any payment is calculated with reference to the profit, turnover or takings of the business (for example, does the agreement provide that the pharmacy business pay the landlord a % of its profit)?</w:t>
            </w:r>
          </w:p>
        </w:tc>
        <w:tc>
          <w:tcPr>
            <w:tcW w:w="1135" w:type="dxa"/>
          </w:tcPr>
          <w:p w14:paraId="3C42C689" w14:textId="77777777" w:rsidR="00854EFF" w:rsidRDefault="00854EFF">
            <w:pPr>
              <w:pStyle w:val="TableParagraph"/>
              <w:rPr>
                <w:rFonts w:ascii="Times New Roman"/>
              </w:rPr>
            </w:pPr>
          </w:p>
        </w:tc>
        <w:tc>
          <w:tcPr>
            <w:tcW w:w="1140" w:type="dxa"/>
          </w:tcPr>
          <w:p w14:paraId="68C75B72" w14:textId="77777777" w:rsidR="00854EFF" w:rsidRDefault="00854EFF">
            <w:pPr>
              <w:pStyle w:val="TableParagraph"/>
              <w:rPr>
                <w:rFonts w:ascii="Times New Roman"/>
              </w:rPr>
            </w:pPr>
          </w:p>
        </w:tc>
      </w:tr>
      <w:tr w:rsidR="00854EFF" w14:paraId="237C83A5" w14:textId="77777777">
        <w:trPr>
          <w:trHeight w:val="1854"/>
        </w:trPr>
        <w:tc>
          <w:tcPr>
            <w:tcW w:w="6247" w:type="dxa"/>
          </w:tcPr>
          <w:p w14:paraId="40F19515" w14:textId="77777777" w:rsidR="00854EFF" w:rsidRDefault="009901CC">
            <w:pPr>
              <w:pStyle w:val="TableParagraph"/>
              <w:spacing w:before="4" w:line="252" w:lineRule="auto"/>
              <w:ind w:left="155" w:right="448"/>
            </w:pPr>
            <w:r>
              <w:t>Does the lease provide an obligation on the pharmacy business to provide the landlord with financial reports, summaries or audits, otherwise than for the purpose of determining whether or not the conditions of the lease are being complied with? (for example reports as to profits or takings)</w:t>
            </w:r>
          </w:p>
        </w:tc>
        <w:tc>
          <w:tcPr>
            <w:tcW w:w="1135" w:type="dxa"/>
          </w:tcPr>
          <w:p w14:paraId="0EF129B0" w14:textId="77777777" w:rsidR="00854EFF" w:rsidRDefault="00854EFF">
            <w:pPr>
              <w:pStyle w:val="TableParagraph"/>
              <w:rPr>
                <w:rFonts w:ascii="Times New Roman"/>
              </w:rPr>
            </w:pPr>
          </w:p>
        </w:tc>
        <w:tc>
          <w:tcPr>
            <w:tcW w:w="1140" w:type="dxa"/>
          </w:tcPr>
          <w:p w14:paraId="54D8FD5C" w14:textId="77777777" w:rsidR="00854EFF" w:rsidRDefault="00854EFF">
            <w:pPr>
              <w:pStyle w:val="TableParagraph"/>
              <w:rPr>
                <w:rFonts w:ascii="Times New Roman"/>
              </w:rPr>
            </w:pPr>
          </w:p>
        </w:tc>
      </w:tr>
      <w:tr w:rsidR="00854EFF" w14:paraId="2D16C6B5" w14:textId="77777777">
        <w:trPr>
          <w:trHeight w:val="1590"/>
        </w:trPr>
        <w:tc>
          <w:tcPr>
            <w:tcW w:w="6247" w:type="dxa"/>
          </w:tcPr>
          <w:p w14:paraId="7AD326E2" w14:textId="77777777" w:rsidR="00854EFF" w:rsidRDefault="009901CC">
            <w:pPr>
              <w:pStyle w:val="TableParagraph"/>
              <w:spacing w:before="4" w:line="252" w:lineRule="auto"/>
              <w:ind w:left="107" w:right="68"/>
            </w:pPr>
            <w:r>
              <w:t>Does the lease give the landlord the right to review or access any records of the pharmacy business otherwise than for the purpose of determining whether or not the conditions of the lease are being complied with? (for example, patient or supply records)</w:t>
            </w:r>
          </w:p>
        </w:tc>
        <w:tc>
          <w:tcPr>
            <w:tcW w:w="1135" w:type="dxa"/>
          </w:tcPr>
          <w:p w14:paraId="1187930E" w14:textId="77777777" w:rsidR="00854EFF" w:rsidRDefault="00854EFF">
            <w:pPr>
              <w:pStyle w:val="TableParagraph"/>
              <w:rPr>
                <w:rFonts w:ascii="Times New Roman"/>
              </w:rPr>
            </w:pPr>
          </w:p>
        </w:tc>
        <w:tc>
          <w:tcPr>
            <w:tcW w:w="1140" w:type="dxa"/>
          </w:tcPr>
          <w:p w14:paraId="192149BE" w14:textId="77777777" w:rsidR="00854EFF" w:rsidRDefault="00854EFF">
            <w:pPr>
              <w:pStyle w:val="TableParagraph"/>
              <w:rPr>
                <w:rFonts w:ascii="Times New Roman"/>
              </w:rPr>
            </w:pPr>
          </w:p>
        </w:tc>
      </w:tr>
      <w:tr w:rsidR="00854EFF" w14:paraId="5513CD9F" w14:textId="77777777">
        <w:trPr>
          <w:trHeight w:val="1578"/>
        </w:trPr>
        <w:tc>
          <w:tcPr>
            <w:tcW w:w="6247" w:type="dxa"/>
          </w:tcPr>
          <w:p w14:paraId="5DD1C892" w14:textId="77777777" w:rsidR="00854EFF" w:rsidRDefault="009901CC">
            <w:pPr>
              <w:pStyle w:val="TableParagraph"/>
              <w:spacing w:before="4" w:line="252" w:lineRule="auto"/>
              <w:ind w:left="107" w:right="117"/>
            </w:pPr>
            <w:r>
              <w:t>Does the lease give the landlord the right to review or access the accounts of the pharmacy business otherwise than for the purpose of determining whether or not the conditions of the lease are being complied with? (for example, income, profit and loss or tax records)</w:t>
            </w:r>
          </w:p>
        </w:tc>
        <w:tc>
          <w:tcPr>
            <w:tcW w:w="1135" w:type="dxa"/>
          </w:tcPr>
          <w:p w14:paraId="5408796E" w14:textId="77777777" w:rsidR="00854EFF" w:rsidRDefault="00854EFF">
            <w:pPr>
              <w:pStyle w:val="TableParagraph"/>
              <w:rPr>
                <w:rFonts w:ascii="Times New Roman"/>
              </w:rPr>
            </w:pPr>
          </w:p>
        </w:tc>
        <w:tc>
          <w:tcPr>
            <w:tcW w:w="1140" w:type="dxa"/>
          </w:tcPr>
          <w:p w14:paraId="64275C7B" w14:textId="77777777" w:rsidR="00854EFF" w:rsidRDefault="00854EFF">
            <w:pPr>
              <w:pStyle w:val="TableParagraph"/>
              <w:rPr>
                <w:rFonts w:ascii="Times New Roman"/>
              </w:rPr>
            </w:pPr>
          </w:p>
        </w:tc>
      </w:tr>
      <w:tr w:rsidR="00854EFF" w14:paraId="13466EB6" w14:textId="77777777">
        <w:trPr>
          <w:trHeight w:val="796"/>
        </w:trPr>
        <w:tc>
          <w:tcPr>
            <w:tcW w:w="6247" w:type="dxa"/>
          </w:tcPr>
          <w:p w14:paraId="73C43F06" w14:textId="77777777" w:rsidR="00854EFF" w:rsidRDefault="009901CC">
            <w:pPr>
              <w:pStyle w:val="TableParagraph"/>
              <w:spacing w:before="7" w:line="249" w:lineRule="auto"/>
              <w:ind w:left="107" w:right="239"/>
            </w:pPr>
            <w:r>
              <w:t>Does the lease allow the landlord to dictate the way in which the business is operated?</w:t>
            </w:r>
          </w:p>
        </w:tc>
        <w:tc>
          <w:tcPr>
            <w:tcW w:w="1135" w:type="dxa"/>
          </w:tcPr>
          <w:p w14:paraId="4AB2C975" w14:textId="77777777" w:rsidR="00854EFF" w:rsidRDefault="00854EFF">
            <w:pPr>
              <w:pStyle w:val="TableParagraph"/>
              <w:rPr>
                <w:rFonts w:ascii="Times New Roman"/>
              </w:rPr>
            </w:pPr>
          </w:p>
        </w:tc>
        <w:tc>
          <w:tcPr>
            <w:tcW w:w="1140" w:type="dxa"/>
          </w:tcPr>
          <w:p w14:paraId="47E76625" w14:textId="77777777" w:rsidR="00854EFF" w:rsidRDefault="00854EFF">
            <w:pPr>
              <w:pStyle w:val="TableParagraph"/>
              <w:rPr>
                <w:rFonts w:ascii="Times New Roman"/>
              </w:rPr>
            </w:pPr>
          </w:p>
        </w:tc>
      </w:tr>
    </w:tbl>
    <w:p w14:paraId="10120AB8" w14:textId="77777777" w:rsidR="00854EFF" w:rsidRDefault="00854EFF">
      <w:pPr>
        <w:pStyle w:val="BodyText"/>
        <w:rPr>
          <w:sz w:val="24"/>
        </w:rPr>
      </w:pPr>
    </w:p>
    <w:p w14:paraId="1F31FD14" w14:textId="77777777" w:rsidR="00854EFF" w:rsidRDefault="00854EFF">
      <w:pPr>
        <w:pStyle w:val="BodyText"/>
        <w:rPr>
          <w:sz w:val="24"/>
        </w:rPr>
      </w:pPr>
    </w:p>
    <w:p w14:paraId="5BC69FA3" w14:textId="77777777" w:rsidR="00854EFF" w:rsidRDefault="00854EFF">
      <w:pPr>
        <w:pStyle w:val="BodyText"/>
        <w:rPr>
          <w:sz w:val="24"/>
        </w:rPr>
      </w:pPr>
    </w:p>
    <w:p w14:paraId="6DE712F8" w14:textId="77777777" w:rsidR="00854EFF" w:rsidRDefault="00854EFF">
      <w:pPr>
        <w:pStyle w:val="BodyText"/>
        <w:spacing w:before="4"/>
        <w:rPr>
          <w:sz w:val="30"/>
        </w:rPr>
      </w:pPr>
    </w:p>
    <w:sectPr w:rsidR="00854EFF">
      <w:pgSz w:w="11920" w:h="16850"/>
      <w:pgMar w:top="1600" w:right="124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FD67" w14:textId="77777777" w:rsidR="00C14767" w:rsidRDefault="00C14767">
      <w:r>
        <w:separator/>
      </w:r>
    </w:p>
  </w:endnote>
  <w:endnote w:type="continuationSeparator" w:id="0">
    <w:p w14:paraId="79B4993C" w14:textId="77777777" w:rsidR="00C14767" w:rsidRDefault="00C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79" w:type="dxa"/>
      <w:tblLook w:val="04A0" w:firstRow="1" w:lastRow="0" w:firstColumn="1" w:lastColumn="0" w:noHBand="0" w:noVBand="1"/>
    </w:tblPr>
    <w:tblGrid>
      <w:gridCol w:w="4342"/>
      <w:gridCol w:w="4621"/>
    </w:tblGrid>
    <w:tr w:rsidR="002D5D77" w14:paraId="36411230" w14:textId="77777777" w:rsidTr="00A85348">
      <w:trPr>
        <w:trHeight w:val="248"/>
      </w:trPr>
      <w:tc>
        <w:tcPr>
          <w:tcW w:w="8963" w:type="dxa"/>
          <w:gridSpan w:val="2"/>
        </w:tcPr>
        <w:p w14:paraId="36FA2A99" w14:textId="77777777" w:rsidR="002D5D77" w:rsidRDefault="002D5D77" w:rsidP="002D5D77">
          <w:pPr>
            <w:pStyle w:val="Footer"/>
          </w:pPr>
          <w:r w:rsidRPr="00D3605A">
            <w:rPr>
              <w:sz w:val="20"/>
              <w:szCs w:val="20"/>
            </w:rPr>
            <w:t>Endorsed By: Northern Territory Pharmacy Premises Committee</w:t>
          </w:r>
        </w:p>
      </w:tc>
    </w:tr>
    <w:tr w:rsidR="002D5D77" w14:paraId="0AB37296" w14:textId="77777777" w:rsidTr="00A85348">
      <w:trPr>
        <w:trHeight w:val="247"/>
      </w:trPr>
      <w:tc>
        <w:tcPr>
          <w:tcW w:w="4342" w:type="dxa"/>
        </w:tcPr>
        <w:p w14:paraId="796396C6" w14:textId="4213ADC0" w:rsidR="002D5D77" w:rsidRPr="00675999" w:rsidRDefault="002D5D77" w:rsidP="00675999">
          <w:pPr>
            <w:pStyle w:val="Footer"/>
            <w:rPr>
              <w:sz w:val="20"/>
              <w:szCs w:val="20"/>
            </w:rPr>
          </w:pPr>
          <w:r w:rsidRPr="00675999">
            <w:rPr>
              <w:sz w:val="20"/>
              <w:szCs w:val="20"/>
            </w:rPr>
            <w:t xml:space="preserve">Effective Date: </w:t>
          </w:r>
          <w:r w:rsidR="00F2694F" w:rsidRPr="00675999">
            <w:rPr>
              <w:sz w:val="20"/>
              <w:szCs w:val="20"/>
            </w:rPr>
            <w:t xml:space="preserve">1 November </w:t>
          </w:r>
          <w:r w:rsidR="00F44410" w:rsidRPr="00675999">
            <w:rPr>
              <w:sz w:val="20"/>
              <w:szCs w:val="20"/>
            </w:rPr>
            <w:t>2022</w:t>
          </w:r>
        </w:p>
      </w:tc>
      <w:tc>
        <w:tcPr>
          <w:tcW w:w="4621" w:type="dxa"/>
        </w:tcPr>
        <w:p w14:paraId="7C9C13E0" w14:textId="46E34FF5" w:rsidR="002D5D77" w:rsidRPr="00675999" w:rsidRDefault="002D5D77" w:rsidP="00340B5B">
          <w:pPr>
            <w:pStyle w:val="Footer"/>
            <w:rPr>
              <w:sz w:val="20"/>
              <w:szCs w:val="20"/>
            </w:rPr>
          </w:pPr>
          <w:r w:rsidRPr="00675999">
            <w:rPr>
              <w:sz w:val="20"/>
              <w:szCs w:val="20"/>
            </w:rPr>
            <w:t xml:space="preserve">Review Date: </w:t>
          </w:r>
          <w:r w:rsidR="00F2694F" w:rsidRPr="00675999">
            <w:rPr>
              <w:sz w:val="20"/>
              <w:szCs w:val="20"/>
            </w:rPr>
            <w:t xml:space="preserve">November </w:t>
          </w:r>
          <w:r w:rsidR="00F44410" w:rsidRPr="00675999">
            <w:rPr>
              <w:sz w:val="20"/>
              <w:szCs w:val="20"/>
            </w:rPr>
            <w:t xml:space="preserve">2025 </w:t>
          </w:r>
        </w:p>
      </w:tc>
    </w:tr>
  </w:tbl>
  <w:p w14:paraId="41F4D956" w14:textId="77777777" w:rsidR="00854EFF" w:rsidRDefault="00C14767">
    <w:pPr>
      <w:pStyle w:val="BodyText"/>
      <w:spacing w:line="14" w:lineRule="auto"/>
      <w:rPr>
        <w:sz w:val="20"/>
      </w:rPr>
    </w:pPr>
    <w:r>
      <w:pict w14:anchorId="5E95050F">
        <v:shapetype id="_x0000_t202" coordsize="21600,21600" o:spt="202" path="m,l,21600r21600,l21600,xe">
          <v:stroke joinstyle="miter"/>
          <v:path gradientshapeok="t" o:connecttype="rect"/>
        </v:shapetype>
        <v:shape id="_x0000_s2049" type="#_x0000_t202" style="position:absolute;margin-left:295.5pt;margin-top:814.75pt;width:9.6pt;height:13.05pt;z-index:-251658752;mso-position-horizontal-relative:page;mso-position-vertical-relative:page" filled="f" stroked="f">
          <v:textbox style="mso-next-textbox:#_x0000_s2049" inset="0,0,0,0">
            <w:txbxContent>
              <w:p w14:paraId="15EFEB57" w14:textId="0624DE88" w:rsidR="00854EFF" w:rsidRDefault="009901CC">
                <w:pPr>
                  <w:pStyle w:val="BodyText"/>
                  <w:spacing w:line="245" w:lineRule="exact"/>
                  <w:ind w:left="40"/>
                  <w:rPr>
                    <w:rFonts w:ascii="Calibri"/>
                  </w:rPr>
                </w:pPr>
                <w:r>
                  <w:fldChar w:fldCharType="begin"/>
                </w:r>
                <w:r>
                  <w:rPr>
                    <w:rFonts w:ascii="Calibri"/>
                  </w:rPr>
                  <w:instrText xml:space="preserve"> PAGE </w:instrText>
                </w:r>
                <w:r>
                  <w:fldChar w:fldCharType="separate"/>
                </w:r>
                <w:r w:rsidR="00340B5B">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E49A" w14:textId="77777777" w:rsidR="00C14767" w:rsidRDefault="00C14767">
      <w:r>
        <w:separator/>
      </w:r>
    </w:p>
  </w:footnote>
  <w:footnote w:type="continuationSeparator" w:id="0">
    <w:p w14:paraId="7BEB77A2" w14:textId="77777777" w:rsidR="00C14767" w:rsidRDefault="00C1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FE26" w14:textId="220DF0DF" w:rsidR="002D5D77" w:rsidRPr="0024489A" w:rsidRDefault="002D5D77" w:rsidP="0024489A">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5464"/>
    <w:multiLevelType w:val="hybridMultilevel"/>
    <w:tmpl w:val="874AAA04"/>
    <w:lvl w:ilvl="0" w:tplc="F7CAB228">
      <w:numFmt w:val="bullet"/>
      <w:lvlText w:val=""/>
      <w:lvlJc w:val="left"/>
      <w:pPr>
        <w:ind w:left="862" w:hanging="361"/>
      </w:pPr>
      <w:rPr>
        <w:rFonts w:ascii="Symbol" w:eastAsia="Symbol" w:hAnsi="Symbol" w:cs="Symbol" w:hint="default"/>
        <w:w w:val="100"/>
        <w:sz w:val="22"/>
        <w:szCs w:val="22"/>
        <w:lang w:val="en-AU" w:eastAsia="en-AU" w:bidi="en-AU"/>
      </w:rPr>
    </w:lvl>
    <w:lvl w:ilvl="1" w:tplc="44BEA148">
      <w:numFmt w:val="bullet"/>
      <w:lvlText w:val="•"/>
      <w:lvlJc w:val="left"/>
      <w:pPr>
        <w:ind w:left="1707" w:hanging="361"/>
      </w:pPr>
      <w:rPr>
        <w:rFonts w:hint="default"/>
        <w:lang w:val="en-AU" w:eastAsia="en-AU" w:bidi="en-AU"/>
      </w:rPr>
    </w:lvl>
    <w:lvl w:ilvl="2" w:tplc="C694A3EC">
      <w:numFmt w:val="bullet"/>
      <w:lvlText w:val="•"/>
      <w:lvlJc w:val="left"/>
      <w:pPr>
        <w:ind w:left="2554" w:hanging="361"/>
      </w:pPr>
      <w:rPr>
        <w:rFonts w:hint="default"/>
        <w:lang w:val="en-AU" w:eastAsia="en-AU" w:bidi="en-AU"/>
      </w:rPr>
    </w:lvl>
    <w:lvl w:ilvl="3" w:tplc="41D03308">
      <w:numFmt w:val="bullet"/>
      <w:lvlText w:val="•"/>
      <w:lvlJc w:val="left"/>
      <w:pPr>
        <w:ind w:left="3401" w:hanging="361"/>
      </w:pPr>
      <w:rPr>
        <w:rFonts w:hint="default"/>
        <w:lang w:val="en-AU" w:eastAsia="en-AU" w:bidi="en-AU"/>
      </w:rPr>
    </w:lvl>
    <w:lvl w:ilvl="4" w:tplc="035AECC8">
      <w:numFmt w:val="bullet"/>
      <w:lvlText w:val="•"/>
      <w:lvlJc w:val="left"/>
      <w:pPr>
        <w:ind w:left="4248" w:hanging="361"/>
      </w:pPr>
      <w:rPr>
        <w:rFonts w:hint="default"/>
        <w:lang w:val="en-AU" w:eastAsia="en-AU" w:bidi="en-AU"/>
      </w:rPr>
    </w:lvl>
    <w:lvl w:ilvl="5" w:tplc="385A1CDA">
      <w:numFmt w:val="bullet"/>
      <w:lvlText w:val="•"/>
      <w:lvlJc w:val="left"/>
      <w:pPr>
        <w:ind w:left="5095" w:hanging="361"/>
      </w:pPr>
      <w:rPr>
        <w:rFonts w:hint="default"/>
        <w:lang w:val="en-AU" w:eastAsia="en-AU" w:bidi="en-AU"/>
      </w:rPr>
    </w:lvl>
    <w:lvl w:ilvl="6" w:tplc="1D7EB200">
      <w:numFmt w:val="bullet"/>
      <w:lvlText w:val="•"/>
      <w:lvlJc w:val="left"/>
      <w:pPr>
        <w:ind w:left="5942" w:hanging="361"/>
      </w:pPr>
      <w:rPr>
        <w:rFonts w:hint="default"/>
        <w:lang w:val="en-AU" w:eastAsia="en-AU" w:bidi="en-AU"/>
      </w:rPr>
    </w:lvl>
    <w:lvl w:ilvl="7" w:tplc="5BF084CE">
      <w:numFmt w:val="bullet"/>
      <w:lvlText w:val="•"/>
      <w:lvlJc w:val="left"/>
      <w:pPr>
        <w:ind w:left="6789" w:hanging="361"/>
      </w:pPr>
      <w:rPr>
        <w:rFonts w:hint="default"/>
        <w:lang w:val="en-AU" w:eastAsia="en-AU" w:bidi="en-AU"/>
      </w:rPr>
    </w:lvl>
    <w:lvl w:ilvl="8" w:tplc="70DE6AE8">
      <w:numFmt w:val="bullet"/>
      <w:lvlText w:val="•"/>
      <w:lvlJc w:val="left"/>
      <w:pPr>
        <w:ind w:left="7636" w:hanging="361"/>
      </w:pPr>
      <w:rPr>
        <w:rFonts w:hint="default"/>
        <w:lang w:val="en-AU" w:eastAsia="en-AU" w:bidi="en-AU"/>
      </w:rPr>
    </w:lvl>
  </w:abstractNum>
  <w:abstractNum w:abstractNumId="1" w15:restartNumberingAfterBreak="0">
    <w:nsid w:val="697D402B"/>
    <w:multiLevelType w:val="hybridMultilevel"/>
    <w:tmpl w:val="F6829474"/>
    <w:lvl w:ilvl="0" w:tplc="CF3A9254">
      <w:start w:val="1"/>
      <w:numFmt w:val="lowerLetter"/>
      <w:lvlText w:val="%1)"/>
      <w:lvlJc w:val="left"/>
      <w:pPr>
        <w:ind w:left="786" w:hanging="360"/>
      </w:pPr>
      <w:rPr>
        <w:rFonts w:ascii="Arial" w:eastAsia="Arial" w:hAnsi="Arial" w:cs="Arial" w:hint="default"/>
        <w:spacing w:val="-1"/>
        <w:w w:val="100"/>
        <w:sz w:val="22"/>
        <w:szCs w:val="22"/>
        <w:lang w:val="en-AU" w:eastAsia="en-AU" w:bidi="en-AU"/>
      </w:rPr>
    </w:lvl>
    <w:lvl w:ilvl="1" w:tplc="0D26B07C">
      <w:numFmt w:val="bullet"/>
      <w:lvlText w:val="•"/>
      <w:lvlJc w:val="left"/>
      <w:pPr>
        <w:ind w:left="1637" w:hanging="360"/>
      </w:pPr>
      <w:rPr>
        <w:rFonts w:hint="default"/>
        <w:lang w:val="en-AU" w:eastAsia="en-AU" w:bidi="en-AU"/>
      </w:rPr>
    </w:lvl>
    <w:lvl w:ilvl="2" w:tplc="333606C2">
      <w:numFmt w:val="bullet"/>
      <w:lvlText w:val="•"/>
      <w:lvlJc w:val="left"/>
      <w:pPr>
        <w:ind w:left="2488" w:hanging="360"/>
      </w:pPr>
      <w:rPr>
        <w:rFonts w:hint="default"/>
        <w:lang w:val="en-AU" w:eastAsia="en-AU" w:bidi="en-AU"/>
      </w:rPr>
    </w:lvl>
    <w:lvl w:ilvl="3" w:tplc="BAF01B5A">
      <w:numFmt w:val="bullet"/>
      <w:lvlText w:val="•"/>
      <w:lvlJc w:val="left"/>
      <w:pPr>
        <w:ind w:left="3339" w:hanging="360"/>
      </w:pPr>
      <w:rPr>
        <w:rFonts w:hint="default"/>
        <w:lang w:val="en-AU" w:eastAsia="en-AU" w:bidi="en-AU"/>
      </w:rPr>
    </w:lvl>
    <w:lvl w:ilvl="4" w:tplc="9B5457D0">
      <w:numFmt w:val="bullet"/>
      <w:lvlText w:val="•"/>
      <w:lvlJc w:val="left"/>
      <w:pPr>
        <w:ind w:left="4190" w:hanging="360"/>
      </w:pPr>
      <w:rPr>
        <w:rFonts w:hint="default"/>
        <w:lang w:val="en-AU" w:eastAsia="en-AU" w:bidi="en-AU"/>
      </w:rPr>
    </w:lvl>
    <w:lvl w:ilvl="5" w:tplc="32D4366A">
      <w:numFmt w:val="bullet"/>
      <w:lvlText w:val="•"/>
      <w:lvlJc w:val="left"/>
      <w:pPr>
        <w:ind w:left="5041" w:hanging="360"/>
      </w:pPr>
      <w:rPr>
        <w:rFonts w:hint="default"/>
        <w:lang w:val="en-AU" w:eastAsia="en-AU" w:bidi="en-AU"/>
      </w:rPr>
    </w:lvl>
    <w:lvl w:ilvl="6" w:tplc="E85488E4">
      <w:numFmt w:val="bullet"/>
      <w:lvlText w:val="•"/>
      <w:lvlJc w:val="left"/>
      <w:pPr>
        <w:ind w:left="5892" w:hanging="360"/>
      </w:pPr>
      <w:rPr>
        <w:rFonts w:hint="default"/>
        <w:lang w:val="en-AU" w:eastAsia="en-AU" w:bidi="en-AU"/>
      </w:rPr>
    </w:lvl>
    <w:lvl w:ilvl="7" w:tplc="29D2BF28">
      <w:numFmt w:val="bullet"/>
      <w:lvlText w:val="•"/>
      <w:lvlJc w:val="left"/>
      <w:pPr>
        <w:ind w:left="6743" w:hanging="360"/>
      </w:pPr>
      <w:rPr>
        <w:rFonts w:hint="default"/>
        <w:lang w:val="en-AU" w:eastAsia="en-AU" w:bidi="en-AU"/>
      </w:rPr>
    </w:lvl>
    <w:lvl w:ilvl="8" w:tplc="D7A21FEA">
      <w:numFmt w:val="bullet"/>
      <w:lvlText w:val="•"/>
      <w:lvlJc w:val="left"/>
      <w:pPr>
        <w:ind w:left="7594" w:hanging="360"/>
      </w:pPr>
      <w:rPr>
        <w:rFonts w:hint="default"/>
        <w:lang w:val="en-AU" w:eastAsia="en-AU" w:bidi="en-AU"/>
      </w:rPr>
    </w:lvl>
  </w:abstractNum>
  <w:abstractNum w:abstractNumId="2" w15:restartNumberingAfterBreak="0">
    <w:nsid w:val="77607D7A"/>
    <w:multiLevelType w:val="multilevel"/>
    <w:tmpl w:val="E7621D24"/>
    <w:lvl w:ilvl="0">
      <w:start w:val="1"/>
      <w:numFmt w:val="decimal"/>
      <w:lvlText w:val="%1)"/>
      <w:lvlJc w:val="left"/>
      <w:pPr>
        <w:ind w:left="360" w:hanging="360"/>
      </w:pPr>
    </w:lvl>
    <w:lvl w:ilvl="1">
      <w:start w:val="1"/>
      <w:numFmt w:val="lowerLetter"/>
      <w:lvlText w:val="(%2)"/>
      <w:lvlJc w:val="left"/>
      <w:pPr>
        <w:ind w:left="720" w:hanging="360"/>
      </w:pPr>
      <w:rPr>
        <w:rFonts w:ascii="Arial" w:eastAsia="Arial" w:hAnsi="Arial" w:cs="Arial" w:hint="default"/>
        <w:spacing w:val="-2"/>
        <w:w w:val="99"/>
        <w:sz w:val="22"/>
        <w:szCs w:val="22"/>
        <w:lang w:val="en-AU" w:eastAsia="en-AU" w:bidi="en-AU"/>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54EFF"/>
    <w:rsid w:val="00006DE5"/>
    <w:rsid w:val="0013756D"/>
    <w:rsid w:val="00202EA6"/>
    <w:rsid w:val="0024489A"/>
    <w:rsid w:val="00285306"/>
    <w:rsid w:val="002D5D77"/>
    <w:rsid w:val="002D6869"/>
    <w:rsid w:val="00340B5B"/>
    <w:rsid w:val="003E6763"/>
    <w:rsid w:val="00492760"/>
    <w:rsid w:val="004B74A8"/>
    <w:rsid w:val="00613FF6"/>
    <w:rsid w:val="00675999"/>
    <w:rsid w:val="007A3E0C"/>
    <w:rsid w:val="00854EFF"/>
    <w:rsid w:val="009901CC"/>
    <w:rsid w:val="00B4679A"/>
    <w:rsid w:val="00C14767"/>
    <w:rsid w:val="00C23C4E"/>
    <w:rsid w:val="00CD64A7"/>
    <w:rsid w:val="00E4170E"/>
    <w:rsid w:val="00F2694F"/>
    <w:rsid w:val="00F44410"/>
    <w:rsid w:val="00FD6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2226D"/>
  <w15:docId w15:val="{9C185069-7896-4AC7-96B7-EC4FBF3E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6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763"/>
    <w:rPr>
      <w:rFonts w:ascii="Segoe UI" w:eastAsia="Arial" w:hAnsi="Segoe UI" w:cs="Segoe UI"/>
      <w:sz w:val="18"/>
      <w:szCs w:val="18"/>
      <w:lang w:val="en-AU" w:eastAsia="en-AU" w:bidi="en-AU"/>
    </w:rPr>
  </w:style>
  <w:style w:type="paragraph" w:customStyle="1" w:styleId="Default">
    <w:name w:val="Default"/>
    <w:rsid w:val="002D5D77"/>
    <w:pPr>
      <w:widowControl/>
      <w:adjustRightInd w:val="0"/>
    </w:pPr>
    <w:rPr>
      <w:rFonts w:ascii="Calibri" w:hAnsi="Calibri" w:cs="Calibri"/>
      <w:color w:val="000000"/>
      <w:sz w:val="24"/>
      <w:szCs w:val="24"/>
      <w:lang w:val="en-AU"/>
    </w:rPr>
  </w:style>
  <w:style w:type="table" w:styleId="TableGrid">
    <w:name w:val="Table Grid"/>
    <w:basedOn w:val="TableNormal"/>
    <w:uiPriority w:val="59"/>
    <w:rsid w:val="002D5D7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77"/>
    <w:pPr>
      <w:tabs>
        <w:tab w:val="center" w:pos="4513"/>
        <w:tab w:val="right" w:pos="9026"/>
      </w:tabs>
    </w:pPr>
  </w:style>
  <w:style w:type="character" w:customStyle="1" w:styleId="HeaderChar">
    <w:name w:val="Header Char"/>
    <w:basedOn w:val="DefaultParagraphFont"/>
    <w:link w:val="Header"/>
    <w:uiPriority w:val="99"/>
    <w:rsid w:val="002D5D77"/>
    <w:rPr>
      <w:rFonts w:ascii="Arial" w:eastAsia="Arial" w:hAnsi="Arial" w:cs="Arial"/>
      <w:lang w:val="en-AU" w:eastAsia="en-AU" w:bidi="en-AU"/>
    </w:rPr>
  </w:style>
  <w:style w:type="paragraph" w:styleId="Footer">
    <w:name w:val="footer"/>
    <w:basedOn w:val="Normal"/>
    <w:link w:val="FooterChar"/>
    <w:uiPriority w:val="99"/>
    <w:unhideWhenUsed/>
    <w:rsid w:val="002D5D77"/>
    <w:pPr>
      <w:tabs>
        <w:tab w:val="center" w:pos="4513"/>
        <w:tab w:val="right" w:pos="9026"/>
      </w:tabs>
    </w:pPr>
  </w:style>
  <w:style w:type="character" w:customStyle="1" w:styleId="FooterChar">
    <w:name w:val="Footer Char"/>
    <w:basedOn w:val="DefaultParagraphFont"/>
    <w:link w:val="Footer"/>
    <w:uiPriority w:val="99"/>
    <w:rsid w:val="002D5D77"/>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66CF-6B16-4F0E-8E68-C431EEFC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10</cp:revision>
  <dcterms:created xsi:type="dcterms:W3CDTF">2019-05-01T08:40:00Z</dcterms:created>
  <dcterms:modified xsi:type="dcterms:W3CDTF">2022-11-16T03:24:00Z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2019-04-18T00:00:00Z</vt:filetime>
  </property>
</Properties>
</file>